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CC145" w14:textId="4C662110" w:rsidR="00C413FD" w:rsidRDefault="00C413FD" w:rsidP="00C413FD">
      <w:pPr>
        <w:pStyle w:val="Ttulo"/>
        <w:spacing w:after="240"/>
        <w:jc w:val="right"/>
      </w:pPr>
      <w:r>
        <w:t>CE/2023/005</w:t>
      </w:r>
    </w:p>
    <w:p w14:paraId="08F76F92" w14:textId="0DF68158" w:rsidR="007050DB" w:rsidRPr="009A09D4" w:rsidRDefault="00C413FD" w:rsidP="00B7341E">
      <w:pPr>
        <w:pStyle w:val="Ttulo"/>
      </w:pPr>
      <w:r>
        <w:t>A</w:t>
      </w:r>
      <w:r w:rsidR="007050DB" w:rsidRPr="009A09D4">
        <w:t xml:space="preserve">cuerdo que emite el Consejo Estatal del Instituto Electoral y de Participación Ciudadana de Tabasco, mediante el cual aprueba el Programa Anual de Trabajo </w:t>
      </w:r>
      <w:r w:rsidR="00A03B39" w:rsidRPr="009A09D4">
        <w:t xml:space="preserve">de </w:t>
      </w:r>
      <w:r w:rsidR="007050DB" w:rsidRPr="009A09D4">
        <w:t xml:space="preserve">la Comisión </w:t>
      </w:r>
      <w:r w:rsidR="00162B88">
        <w:t xml:space="preserve">Permanente </w:t>
      </w:r>
      <w:r w:rsidR="00162B88" w:rsidRPr="00162B88">
        <w:t>de Seguimiento del Servicio Profesional Electoral</w:t>
      </w:r>
      <w:r w:rsidR="00162B88">
        <w:t xml:space="preserve"> del propio Instituto</w:t>
      </w:r>
      <w:r w:rsidR="003F4119" w:rsidRPr="009A09D4">
        <w:t xml:space="preserve">, </w:t>
      </w:r>
      <w:r w:rsidR="007050DB" w:rsidRPr="009A09D4">
        <w:t>para el año 2023</w:t>
      </w:r>
    </w:p>
    <w:p w14:paraId="177FF168" w14:textId="77777777" w:rsidR="007050DB" w:rsidRPr="009A09D4" w:rsidRDefault="007050DB" w:rsidP="00B7341E">
      <w:r w:rsidRPr="009A09D4">
        <w:t>Para efectos del presente acuerdo se usarán las abreviaturas y definiciones siguientes:</w:t>
      </w:r>
    </w:p>
    <w:tbl>
      <w:tblPr>
        <w:tblW w:w="4162" w:type="pct"/>
        <w:jc w:val="center"/>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4A0" w:firstRow="1" w:lastRow="0" w:firstColumn="1" w:lastColumn="0" w:noHBand="0" w:noVBand="1"/>
      </w:tblPr>
      <w:tblGrid>
        <w:gridCol w:w="3001"/>
        <w:gridCol w:w="4347"/>
      </w:tblGrid>
      <w:tr w:rsidR="00497A27" w:rsidRPr="00B7341E" w14:paraId="55D80576" w14:textId="77777777" w:rsidTr="00594B1C">
        <w:trPr>
          <w:trHeight w:val="624"/>
          <w:jc w:val="center"/>
        </w:trPr>
        <w:tc>
          <w:tcPr>
            <w:tcW w:w="2042" w:type="pct"/>
            <w:shd w:val="clear" w:color="auto" w:fill="auto"/>
            <w:vAlign w:val="center"/>
          </w:tcPr>
          <w:p w14:paraId="6C352B8E" w14:textId="77777777" w:rsidR="00497A27" w:rsidRPr="00B7341E" w:rsidRDefault="00497A27" w:rsidP="00B7341E">
            <w:pPr>
              <w:spacing w:before="60" w:after="60"/>
              <w:ind w:left="57"/>
              <w:jc w:val="right"/>
              <w:rPr>
                <w:b/>
                <w:sz w:val="22"/>
              </w:rPr>
            </w:pPr>
            <w:r w:rsidRPr="00B7341E">
              <w:rPr>
                <w:b/>
                <w:sz w:val="22"/>
              </w:rPr>
              <w:t>Comisión de Seguimiento:</w:t>
            </w:r>
          </w:p>
        </w:tc>
        <w:tc>
          <w:tcPr>
            <w:tcW w:w="2958" w:type="pct"/>
            <w:shd w:val="clear" w:color="auto" w:fill="auto"/>
            <w:vAlign w:val="center"/>
          </w:tcPr>
          <w:p w14:paraId="4ED4D40E" w14:textId="77777777" w:rsidR="00497A27" w:rsidRPr="00B7341E" w:rsidRDefault="00497A27" w:rsidP="00B7341E">
            <w:pPr>
              <w:spacing w:before="60" w:after="60"/>
              <w:ind w:left="57"/>
              <w:rPr>
                <w:sz w:val="22"/>
              </w:rPr>
            </w:pPr>
            <w:r w:rsidRPr="00B7341E">
              <w:rPr>
                <w:sz w:val="22"/>
              </w:rPr>
              <w:t>Comisión de Seguimiento del Servicio Profesional Electoral del Instituto Electoral y de Participación Ciudadana de Tabasco.</w:t>
            </w:r>
          </w:p>
        </w:tc>
      </w:tr>
      <w:tr w:rsidR="00497A27" w:rsidRPr="00B7341E" w14:paraId="5D79FD90" w14:textId="77777777" w:rsidTr="00594B1C">
        <w:trPr>
          <w:trHeight w:val="624"/>
          <w:jc w:val="center"/>
        </w:trPr>
        <w:tc>
          <w:tcPr>
            <w:tcW w:w="2042" w:type="pct"/>
            <w:shd w:val="clear" w:color="auto" w:fill="auto"/>
            <w:vAlign w:val="center"/>
          </w:tcPr>
          <w:p w14:paraId="5B565AAE" w14:textId="77777777" w:rsidR="00497A27" w:rsidRPr="00B7341E" w:rsidRDefault="00497A27" w:rsidP="00B7341E">
            <w:pPr>
              <w:spacing w:before="60" w:after="60"/>
              <w:ind w:left="57"/>
              <w:jc w:val="right"/>
              <w:rPr>
                <w:b/>
                <w:sz w:val="22"/>
              </w:rPr>
            </w:pPr>
            <w:r w:rsidRPr="00B7341E">
              <w:rPr>
                <w:b/>
                <w:sz w:val="22"/>
              </w:rPr>
              <w:t>Consejo Estatal:</w:t>
            </w:r>
          </w:p>
        </w:tc>
        <w:tc>
          <w:tcPr>
            <w:tcW w:w="2958" w:type="pct"/>
            <w:shd w:val="clear" w:color="auto" w:fill="auto"/>
            <w:vAlign w:val="center"/>
          </w:tcPr>
          <w:p w14:paraId="1AE1A4BF" w14:textId="77777777" w:rsidR="00497A27" w:rsidRPr="00B7341E" w:rsidRDefault="00497A27" w:rsidP="00B7341E">
            <w:pPr>
              <w:spacing w:before="60" w:after="60"/>
              <w:ind w:left="57"/>
              <w:rPr>
                <w:sz w:val="22"/>
              </w:rPr>
            </w:pPr>
            <w:r w:rsidRPr="00B7341E">
              <w:rPr>
                <w:sz w:val="22"/>
              </w:rPr>
              <w:t>Consejo Estatal del Instituto Electoral y de Participación Ciudadana de Tabasco.</w:t>
            </w:r>
          </w:p>
        </w:tc>
      </w:tr>
      <w:tr w:rsidR="00497A27" w:rsidRPr="00B7341E" w14:paraId="7165535A" w14:textId="77777777" w:rsidTr="00594B1C">
        <w:trPr>
          <w:trHeight w:val="624"/>
          <w:jc w:val="center"/>
        </w:trPr>
        <w:tc>
          <w:tcPr>
            <w:tcW w:w="2042" w:type="pct"/>
            <w:shd w:val="clear" w:color="auto" w:fill="auto"/>
            <w:vAlign w:val="center"/>
          </w:tcPr>
          <w:p w14:paraId="2C0176C6" w14:textId="77777777" w:rsidR="00497A27" w:rsidRPr="00B7341E" w:rsidRDefault="00497A27" w:rsidP="00B7341E">
            <w:pPr>
              <w:spacing w:before="60" w:after="60"/>
              <w:ind w:left="57"/>
              <w:jc w:val="right"/>
              <w:rPr>
                <w:b/>
                <w:sz w:val="22"/>
              </w:rPr>
            </w:pPr>
            <w:r w:rsidRPr="00B7341E">
              <w:rPr>
                <w:b/>
                <w:sz w:val="22"/>
              </w:rPr>
              <w:t>Constitución Federal:</w:t>
            </w:r>
          </w:p>
        </w:tc>
        <w:tc>
          <w:tcPr>
            <w:tcW w:w="2958" w:type="pct"/>
            <w:shd w:val="clear" w:color="auto" w:fill="auto"/>
            <w:vAlign w:val="center"/>
          </w:tcPr>
          <w:p w14:paraId="4F364E44" w14:textId="77777777" w:rsidR="00497A27" w:rsidRPr="00B7341E" w:rsidRDefault="00497A27" w:rsidP="00B7341E">
            <w:pPr>
              <w:spacing w:before="60" w:after="60"/>
              <w:ind w:left="57"/>
              <w:rPr>
                <w:sz w:val="22"/>
              </w:rPr>
            </w:pPr>
            <w:r w:rsidRPr="00B7341E">
              <w:rPr>
                <w:sz w:val="22"/>
              </w:rPr>
              <w:t>Constitución Política de los Estados Unidos Mexicanos.</w:t>
            </w:r>
          </w:p>
        </w:tc>
      </w:tr>
      <w:tr w:rsidR="00497A27" w:rsidRPr="00B7341E" w14:paraId="12B4525F" w14:textId="77777777" w:rsidTr="00594B1C">
        <w:trPr>
          <w:trHeight w:val="624"/>
          <w:jc w:val="center"/>
        </w:trPr>
        <w:tc>
          <w:tcPr>
            <w:tcW w:w="2042" w:type="pct"/>
            <w:shd w:val="clear" w:color="auto" w:fill="auto"/>
            <w:vAlign w:val="center"/>
          </w:tcPr>
          <w:p w14:paraId="573B9CEE" w14:textId="77777777" w:rsidR="00497A27" w:rsidRPr="00B7341E" w:rsidRDefault="00497A27" w:rsidP="00B7341E">
            <w:pPr>
              <w:spacing w:before="60" w:after="60"/>
              <w:ind w:left="57"/>
              <w:jc w:val="right"/>
              <w:rPr>
                <w:b/>
                <w:sz w:val="22"/>
              </w:rPr>
            </w:pPr>
            <w:r w:rsidRPr="00B7341E">
              <w:rPr>
                <w:b/>
                <w:sz w:val="22"/>
              </w:rPr>
              <w:t>Constitución Local:</w:t>
            </w:r>
          </w:p>
        </w:tc>
        <w:tc>
          <w:tcPr>
            <w:tcW w:w="2958" w:type="pct"/>
            <w:shd w:val="clear" w:color="auto" w:fill="auto"/>
            <w:vAlign w:val="center"/>
          </w:tcPr>
          <w:p w14:paraId="25002C68" w14:textId="77777777" w:rsidR="00497A27" w:rsidRPr="00B7341E" w:rsidRDefault="00497A27" w:rsidP="00B7341E">
            <w:pPr>
              <w:spacing w:before="60" w:after="60"/>
              <w:ind w:left="57"/>
              <w:rPr>
                <w:sz w:val="22"/>
              </w:rPr>
            </w:pPr>
            <w:r w:rsidRPr="00B7341E">
              <w:rPr>
                <w:sz w:val="22"/>
              </w:rPr>
              <w:t>Constitución Política del Estado Libre y Soberano de Tabasco.</w:t>
            </w:r>
          </w:p>
        </w:tc>
      </w:tr>
      <w:tr w:rsidR="00497A27" w:rsidRPr="00B7341E" w14:paraId="785EF95F" w14:textId="77777777" w:rsidTr="00594B1C">
        <w:trPr>
          <w:trHeight w:val="624"/>
          <w:jc w:val="center"/>
        </w:trPr>
        <w:tc>
          <w:tcPr>
            <w:tcW w:w="2042" w:type="pct"/>
            <w:shd w:val="clear" w:color="auto" w:fill="auto"/>
            <w:vAlign w:val="center"/>
          </w:tcPr>
          <w:p w14:paraId="2AC8D005" w14:textId="77777777" w:rsidR="00497A27" w:rsidRPr="00B7341E" w:rsidRDefault="00497A27" w:rsidP="00B7341E">
            <w:pPr>
              <w:spacing w:before="60" w:after="60"/>
              <w:ind w:left="57"/>
              <w:jc w:val="right"/>
              <w:rPr>
                <w:b/>
                <w:sz w:val="22"/>
              </w:rPr>
            </w:pPr>
            <w:r>
              <w:rPr>
                <w:b/>
                <w:sz w:val="22"/>
              </w:rPr>
              <w:t>Estatuto:</w:t>
            </w:r>
          </w:p>
        </w:tc>
        <w:tc>
          <w:tcPr>
            <w:tcW w:w="2958" w:type="pct"/>
            <w:shd w:val="clear" w:color="auto" w:fill="auto"/>
            <w:vAlign w:val="center"/>
          </w:tcPr>
          <w:p w14:paraId="74E10A8F" w14:textId="77777777" w:rsidR="00497A27" w:rsidRPr="00B7341E" w:rsidRDefault="00497A27" w:rsidP="00035CDF">
            <w:pPr>
              <w:spacing w:before="60" w:after="60"/>
              <w:ind w:left="57"/>
              <w:rPr>
                <w:sz w:val="22"/>
              </w:rPr>
            </w:pPr>
            <w:r w:rsidRPr="009231A8">
              <w:rPr>
                <w:sz w:val="22"/>
              </w:rPr>
              <w:t>Estatuto del Servicio Profesional</w:t>
            </w:r>
            <w:r>
              <w:rPr>
                <w:sz w:val="22"/>
              </w:rPr>
              <w:t xml:space="preserve"> Electoral Nacional y de la Rama Administrativa aprobado por el Instituto Nacional Electoral.</w:t>
            </w:r>
          </w:p>
        </w:tc>
      </w:tr>
      <w:tr w:rsidR="00497A27" w:rsidRPr="00B7341E" w14:paraId="1C76108F" w14:textId="77777777" w:rsidTr="00594B1C">
        <w:trPr>
          <w:trHeight w:val="624"/>
          <w:jc w:val="center"/>
        </w:trPr>
        <w:tc>
          <w:tcPr>
            <w:tcW w:w="2042" w:type="pct"/>
            <w:shd w:val="clear" w:color="auto" w:fill="auto"/>
            <w:vAlign w:val="center"/>
          </w:tcPr>
          <w:p w14:paraId="6E91A13A" w14:textId="77777777" w:rsidR="00497A27" w:rsidRPr="00B7341E" w:rsidRDefault="00497A27" w:rsidP="00B7341E">
            <w:pPr>
              <w:spacing w:before="60" w:after="60"/>
              <w:ind w:left="57"/>
              <w:jc w:val="right"/>
              <w:rPr>
                <w:b/>
                <w:sz w:val="22"/>
              </w:rPr>
            </w:pPr>
            <w:r w:rsidRPr="00B7341E">
              <w:rPr>
                <w:b/>
                <w:sz w:val="22"/>
              </w:rPr>
              <w:t>INE:</w:t>
            </w:r>
          </w:p>
        </w:tc>
        <w:tc>
          <w:tcPr>
            <w:tcW w:w="2958" w:type="pct"/>
            <w:shd w:val="clear" w:color="auto" w:fill="auto"/>
            <w:vAlign w:val="center"/>
          </w:tcPr>
          <w:p w14:paraId="63E327AD" w14:textId="77777777" w:rsidR="00497A27" w:rsidRPr="00B7341E" w:rsidRDefault="00497A27" w:rsidP="00B7341E">
            <w:pPr>
              <w:spacing w:before="60" w:after="60"/>
              <w:ind w:left="57"/>
              <w:rPr>
                <w:sz w:val="22"/>
              </w:rPr>
            </w:pPr>
            <w:r w:rsidRPr="00B7341E">
              <w:rPr>
                <w:sz w:val="22"/>
              </w:rPr>
              <w:t>Instituto Nacional Electoral.</w:t>
            </w:r>
          </w:p>
        </w:tc>
      </w:tr>
      <w:tr w:rsidR="00497A27" w:rsidRPr="00B7341E" w14:paraId="4C2D87A7" w14:textId="77777777" w:rsidTr="00594B1C">
        <w:trPr>
          <w:trHeight w:val="624"/>
          <w:jc w:val="center"/>
        </w:trPr>
        <w:tc>
          <w:tcPr>
            <w:tcW w:w="2042" w:type="pct"/>
            <w:shd w:val="clear" w:color="auto" w:fill="auto"/>
            <w:vAlign w:val="center"/>
          </w:tcPr>
          <w:p w14:paraId="78660953" w14:textId="77777777" w:rsidR="00497A27" w:rsidRPr="00B7341E" w:rsidRDefault="00497A27" w:rsidP="00B7341E">
            <w:pPr>
              <w:spacing w:before="60" w:after="60"/>
              <w:ind w:left="57"/>
              <w:jc w:val="right"/>
              <w:rPr>
                <w:b/>
                <w:sz w:val="22"/>
              </w:rPr>
            </w:pPr>
            <w:r w:rsidRPr="00B7341E">
              <w:rPr>
                <w:b/>
                <w:sz w:val="22"/>
              </w:rPr>
              <w:t>Instituto Electoral:</w:t>
            </w:r>
          </w:p>
        </w:tc>
        <w:tc>
          <w:tcPr>
            <w:tcW w:w="2958" w:type="pct"/>
            <w:shd w:val="clear" w:color="auto" w:fill="auto"/>
          </w:tcPr>
          <w:p w14:paraId="7D80AB03" w14:textId="77777777" w:rsidR="00497A27" w:rsidRPr="00B7341E" w:rsidRDefault="00497A27" w:rsidP="00B7341E">
            <w:pPr>
              <w:spacing w:before="60" w:after="60"/>
              <w:ind w:left="57"/>
              <w:rPr>
                <w:sz w:val="22"/>
              </w:rPr>
            </w:pPr>
            <w:r w:rsidRPr="00B7341E">
              <w:rPr>
                <w:sz w:val="22"/>
              </w:rPr>
              <w:t>Instituto Electoral y de Participación Ciudadana de Tabasco.</w:t>
            </w:r>
          </w:p>
        </w:tc>
      </w:tr>
      <w:tr w:rsidR="00497A27" w:rsidRPr="00B7341E" w14:paraId="6AFDEE9E" w14:textId="77777777" w:rsidTr="00594B1C">
        <w:trPr>
          <w:trHeight w:val="624"/>
          <w:jc w:val="center"/>
        </w:trPr>
        <w:tc>
          <w:tcPr>
            <w:tcW w:w="2042" w:type="pct"/>
            <w:shd w:val="clear" w:color="auto" w:fill="auto"/>
            <w:vAlign w:val="center"/>
          </w:tcPr>
          <w:p w14:paraId="7459C4BB" w14:textId="77777777" w:rsidR="00497A27" w:rsidRPr="00B7341E" w:rsidRDefault="00497A27" w:rsidP="00B7341E">
            <w:pPr>
              <w:spacing w:before="60" w:after="60"/>
              <w:ind w:left="57"/>
              <w:jc w:val="right"/>
              <w:rPr>
                <w:b/>
                <w:sz w:val="22"/>
              </w:rPr>
            </w:pPr>
            <w:r w:rsidRPr="00B7341E">
              <w:rPr>
                <w:b/>
                <w:sz w:val="22"/>
              </w:rPr>
              <w:t>Ley Electoral:</w:t>
            </w:r>
          </w:p>
        </w:tc>
        <w:tc>
          <w:tcPr>
            <w:tcW w:w="2958" w:type="pct"/>
            <w:shd w:val="clear" w:color="auto" w:fill="auto"/>
            <w:vAlign w:val="center"/>
          </w:tcPr>
          <w:p w14:paraId="32DD3318" w14:textId="77777777" w:rsidR="00497A27" w:rsidRPr="00B7341E" w:rsidRDefault="00497A27" w:rsidP="00B7341E">
            <w:pPr>
              <w:spacing w:before="60" w:after="60"/>
              <w:ind w:left="57"/>
              <w:rPr>
                <w:sz w:val="22"/>
              </w:rPr>
            </w:pPr>
            <w:r w:rsidRPr="00B7341E">
              <w:rPr>
                <w:sz w:val="22"/>
              </w:rPr>
              <w:t>Ley Electoral y de Partidos Políticos del Estado de Tabasco.</w:t>
            </w:r>
          </w:p>
        </w:tc>
      </w:tr>
      <w:tr w:rsidR="00497A27" w:rsidRPr="00B7341E" w14:paraId="5B7215CA" w14:textId="77777777" w:rsidTr="00594B1C">
        <w:trPr>
          <w:trHeight w:val="624"/>
          <w:jc w:val="center"/>
        </w:trPr>
        <w:tc>
          <w:tcPr>
            <w:tcW w:w="2042" w:type="pct"/>
            <w:shd w:val="clear" w:color="auto" w:fill="auto"/>
            <w:vAlign w:val="center"/>
          </w:tcPr>
          <w:p w14:paraId="2AB80781" w14:textId="77777777" w:rsidR="00497A27" w:rsidRPr="00B7341E" w:rsidRDefault="00497A27" w:rsidP="00B7341E">
            <w:pPr>
              <w:spacing w:before="60" w:after="60"/>
              <w:ind w:left="57"/>
              <w:jc w:val="right"/>
              <w:rPr>
                <w:b/>
                <w:sz w:val="22"/>
              </w:rPr>
            </w:pPr>
            <w:r w:rsidRPr="00B7341E">
              <w:rPr>
                <w:b/>
                <w:sz w:val="22"/>
              </w:rPr>
              <w:t>Ley General:</w:t>
            </w:r>
          </w:p>
        </w:tc>
        <w:tc>
          <w:tcPr>
            <w:tcW w:w="2958" w:type="pct"/>
            <w:shd w:val="clear" w:color="auto" w:fill="auto"/>
            <w:vAlign w:val="center"/>
          </w:tcPr>
          <w:p w14:paraId="7104AD1D" w14:textId="77777777" w:rsidR="00497A27" w:rsidRPr="00B7341E" w:rsidRDefault="00497A27" w:rsidP="00B7341E">
            <w:pPr>
              <w:spacing w:before="60" w:after="60"/>
              <w:ind w:left="57"/>
              <w:rPr>
                <w:sz w:val="22"/>
              </w:rPr>
            </w:pPr>
            <w:r w:rsidRPr="00B7341E">
              <w:rPr>
                <w:sz w:val="22"/>
              </w:rPr>
              <w:t>Ley General de Instituciones y Procedimientos Electorales.</w:t>
            </w:r>
          </w:p>
        </w:tc>
      </w:tr>
      <w:tr w:rsidR="00497A27" w:rsidRPr="00B7341E" w14:paraId="3F66D471" w14:textId="77777777" w:rsidTr="00594B1C">
        <w:trPr>
          <w:trHeight w:val="624"/>
          <w:jc w:val="center"/>
        </w:trPr>
        <w:tc>
          <w:tcPr>
            <w:tcW w:w="2042" w:type="pct"/>
            <w:shd w:val="clear" w:color="auto" w:fill="auto"/>
            <w:vAlign w:val="center"/>
          </w:tcPr>
          <w:p w14:paraId="42BAC1B8" w14:textId="77777777" w:rsidR="00497A27" w:rsidRPr="00B7341E" w:rsidRDefault="00497A27" w:rsidP="00B7341E">
            <w:pPr>
              <w:spacing w:before="60" w:after="60"/>
              <w:ind w:left="57"/>
              <w:jc w:val="right"/>
              <w:rPr>
                <w:b/>
                <w:sz w:val="22"/>
              </w:rPr>
            </w:pPr>
            <w:r w:rsidRPr="00B7341E">
              <w:rPr>
                <w:b/>
                <w:sz w:val="22"/>
              </w:rPr>
              <w:lastRenderedPageBreak/>
              <w:t>Organismo electoral:</w:t>
            </w:r>
          </w:p>
        </w:tc>
        <w:tc>
          <w:tcPr>
            <w:tcW w:w="2958" w:type="pct"/>
            <w:shd w:val="clear" w:color="auto" w:fill="auto"/>
            <w:vAlign w:val="center"/>
          </w:tcPr>
          <w:p w14:paraId="11A699CC" w14:textId="77777777" w:rsidR="00497A27" w:rsidRPr="00B7341E" w:rsidRDefault="00497A27" w:rsidP="00B7341E">
            <w:pPr>
              <w:spacing w:before="60" w:after="60"/>
              <w:ind w:left="57"/>
              <w:rPr>
                <w:sz w:val="22"/>
              </w:rPr>
            </w:pPr>
            <w:r w:rsidRPr="00B7341E">
              <w:rPr>
                <w:sz w:val="22"/>
              </w:rPr>
              <w:t xml:space="preserve">Organismo(s) público(s) local(es) electoral(es). </w:t>
            </w:r>
          </w:p>
        </w:tc>
      </w:tr>
      <w:tr w:rsidR="00497A27" w:rsidRPr="00B7341E" w14:paraId="1124FFE8" w14:textId="77777777" w:rsidTr="00594B1C">
        <w:trPr>
          <w:trHeight w:val="624"/>
          <w:jc w:val="center"/>
        </w:trPr>
        <w:tc>
          <w:tcPr>
            <w:tcW w:w="2042" w:type="pct"/>
            <w:shd w:val="clear" w:color="auto" w:fill="auto"/>
            <w:vAlign w:val="center"/>
          </w:tcPr>
          <w:p w14:paraId="66F0C8C4" w14:textId="77777777" w:rsidR="00497A27" w:rsidRPr="00B7341E" w:rsidRDefault="00497A27" w:rsidP="00B7341E">
            <w:pPr>
              <w:spacing w:before="60" w:after="60"/>
              <w:ind w:left="57"/>
              <w:jc w:val="right"/>
              <w:rPr>
                <w:b/>
                <w:sz w:val="22"/>
              </w:rPr>
            </w:pPr>
            <w:r w:rsidRPr="00B7341E">
              <w:rPr>
                <w:b/>
                <w:sz w:val="22"/>
              </w:rPr>
              <w:t>Reglamento de Comisiones:</w:t>
            </w:r>
          </w:p>
        </w:tc>
        <w:tc>
          <w:tcPr>
            <w:tcW w:w="2958" w:type="pct"/>
            <w:shd w:val="clear" w:color="auto" w:fill="auto"/>
            <w:vAlign w:val="center"/>
          </w:tcPr>
          <w:p w14:paraId="3E52FF9D" w14:textId="77777777" w:rsidR="00497A27" w:rsidRPr="00B7341E" w:rsidRDefault="00497A27" w:rsidP="00B7341E">
            <w:pPr>
              <w:spacing w:before="60" w:after="60"/>
              <w:ind w:left="57"/>
              <w:rPr>
                <w:sz w:val="22"/>
              </w:rPr>
            </w:pPr>
            <w:r w:rsidRPr="00B7341E">
              <w:rPr>
                <w:sz w:val="22"/>
              </w:rPr>
              <w:t>Reglamento de Comisiones del Consejo Estatal.</w:t>
            </w:r>
          </w:p>
        </w:tc>
      </w:tr>
      <w:tr w:rsidR="00497A27" w:rsidRPr="00B7341E" w14:paraId="19C0B43B" w14:textId="77777777" w:rsidTr="00594B1C">
        <w:trPr>
          <w:trHeight w:val="624"/>
          <w:jc w:val="center"/>
        </w:trPr>
        <w:tc>
          <w:tcPr>
            <w:tcW w:w="2042" w:type="pct"/>
            <w:shd w:val="clear" w:color="auto" w:fill="auto"/>
            <w:vAlign w:val="center"/>
          </w:tcPr>
          <w:p w14:paraId="537A20E6" w14:textId="77777777" w:rsidR="00497A27" w:rsidRPr="00B7341E" w:rsidRDefault="00497A27" w:rsidP="00B7341E">
            <w:pPr>
              <w:spacing w:before="60" w:after="60"/>
              <w:ind w:left="57"/>
              <w:jc w:val="right"/>
              <w:rPr>
                <w:b/>
                <w:sz w:val="22"/>
              </w:rPr>
            </w:pPr>
            <w:r w:rsidRPr="00B7341E">
              <w:rPr>
                <w:b/>
                <w:sz w:val="22"/>
              </w:rPr>
              <w:t>Secretaría Ejecutiva:</w:t>
            </w:r>
          </w:p>
        </w:tc>
        <w:tc>
          <w:tcPr>
            <w:tcW w:w="2958" w:type="pct"/>
            <w:shd w:val="clear" w:color="auto" w:fill="auto"/>
            <w:vAlign w:val="center"/>
          </w:tcPr>
          <w:p w14:paraId="0F4D0B8C" w14:textId="77777777" w:rsidR="00497A27" w:rsidRPr="00B7341E" w:rsidRDefault="00497A27" w:rsidP="00B7341E">
            <w:pPr>
              <w:spacing w:before="60" w:after="60"/>
              <w:ind w:left="57"/>
              <w:rPr>
                <w:sz w:val="22"/>
              </w:rPr>
            </w:pPr>
            <w:r w:rsidRPr="00B7341E">
              <w:rPr>
                <w:sz w:val="22"/>
              </w:rPr>
              <w:t>Secretaría Ejecutiva del Instituto Electoral y de Participación Ciudadana de Tabasco.</w:t>
            </w:r>
          </w:p>
        </w:tc>
      </w:tr>
      <w:tr w:rsidR="00497A27" w:rsidRPr="00B7341E" w14:paraId="73AAA0EE" w14:textId="77777777" w:rsidTr="00594B1C">
        <w:trPr>
          <w:trHeight w:val="624"/>
          <w:jc w:val="center"/>
        </w:trPr>
        <w:tc>
          <w:tcPr>
            <w:tcW w:w="2042" w:type="pct"/>
            <w:shd w:val="clear" w:color="auto" w:fill="auto"/>
            <w:vAlign w:val="center"/>
          </w:tcPr>
          <w:p w14:paraId="10CF0205" w14:textId="77777777" w:rsidR="00497A27" w:rsidRPr="00B7341E" w:rsidRDefault="00497A27" w:rsidP="00B7341E">
            <w:pPr>
              <w:spacing w:before="60" w:after="60"/>
              <w:ind w:left="57"/>
              <w:jc w:val="right"/>
              <w:rPr>
                <w:b/>
                <w:sz w:val="22"/>
              </w:rPr>
            </w:pPr>
            <w:r w:rsidRPr="00B7341E">
              <w:rPr>
                <w:b/>
                <w:sz w:val="22"/>
              </w:rPr>
              <w:t>Servicio Profesional:</w:t>
            </w:r>
          </w:p>
        </w:tc>
        <w:tc>
          <w:tcPr>
            <w:tcW w:w="2958" w:type="pct"/>
            <w:shd w:val="clear" w:color="auto" w:fill="auto"/>
            <w:vAlign w:val="center"/>
          </w:tcPr>
          <w:p w14:paraId="708D3156" w14:textId="77777777" w:rsidR="00497A27" w:rsidRPr="00B7341E" w:rsidRDefault="00497A27" w:rsidP="00B7341E">
            <w:pPr>
              <w:spacing w:before="60" w:after="60"/>
              <w:ind w:left="57"/>
              <w:rPr>
                <w:sz w:val="22"/>
              </w:rPr>
            </w:pPr>
            <w:r w:rsidRPr="00B7341E">
              <w:rPr>
                <w:sz w:val="22"/>
              </w:rPr>
              <w:t>Servicio Profesional Electoral Nacional.</w:t>
            </w:r>
          </w:p>
        </w:tc>
      </w:tr>
    </w:tbl>
    <w:p w14:paraId="53849C8A" w14:textId="38284D38" w:rsidR="00D51AD4" w:rsidRPr="009A09D4" w:rsidRDefault="00D51AD4" w:rsidP="002A5C36">
      <w:pPr>
        <w:pStyle w:val="Ttulo1"/>
        <w:spacing w:line="295" w:lineRule="auto"/>
      </w:pPr>
      <w:r w:rsidRPr="009A09D4">
        <w:t>Antecedentes</w:t>
      </w:r>
    </w:p>
    <w:p w14:paraId="21763D44" w14:textId="423D6649" w:rsidR="00D51AD4" w:rsidRPr="009A09D4" w:rsidRDefault="00D51AD4" w:rsidP="002A5C36">
      <w:pPr>
        <w:pStyle w:val="Ttulo2"/>
        <w:spacing w:line="295" w:lineRule="auto"/>
      </w:pPr>
      <w:r w:rsidRPr="009A09D4">
        <w:t xml:space="preserve">Integración de la </w:t>
      </w:r>
      <w:r w:rsidR="00A7647A">
        <w:t>Comisión de Seguimiento</w:t>
      </w:r>
    </w:p>
    <w:p w14:paraId="50191918" w14:textId="3F50EA06" w:rsidR="00D51AD4" w:rsidRPr="009A09D4" w:rsidRDefault="00D51AD4" w:rsidP="002A5C36">
      <w:pPr>
        <w:spacing w:line="295" w:lineRule="auto"/>
      </w:pPr>
      <w:r w:rsidRPr="009A09D4">
        <w:t>El 08 de octubre del 2020</w:t>
      </w:r>
      <w:r w:rsidR="007B7B44" w:rsidRPr="009A09D4">
        <w:t xml:space="preserve">, </w:t>
      </w:r>
      <w:r w:rsidR="001F56DA" w:rsidRPr="009A09D4">
        <w:t>en cumplimiento a lo que señala el artículo 113 de la Ley Electoral</w:t>
      </w:r>
      <w:r w:rsidR="00C071C0" w:rsidRPr="009A09D4">
        <w:t xml:space="preserve">, </w:t>
      </w:r>
      <w:r w:rsidR="007B7B44" w:rsidRPr="009A09D4">
        <w:t xml:space="preserve">el Consejo Estatal mediante acuerdo CE/2020/43, </w:t>
      </w:r>
      <w:r w:rsidRPr="009A09D4">
        <w:t xml:space="preserve">constituyó la </w:t>
      </w:r>
      <w:r w:rsidR="00A7647A">
        <w:t>Comisión de Seguimiento</w:t>
      </w:r>
      <w:r w:rsidR="007F1038" w:rsidRPr="009A09D4">
        <w:t>,</w:t>
      </w:r>
      <w:r w:rsidRPr="009A09D4">
        <w:t xml:space="preserve"> la cual en términos del artículo 1</w:t>
      </w:r>
      <w:r w:rsidR="00E92057" w:rsidRPr="009A09D4">
        <w:t>9</w:t>
      </w:r>
      <w:r w:rsidRPr="009A09D4">
        <w:t xml:space="preserve"> del Reglamento de Comisiones, </w:t>
      </w:r>
      <w:r w:rsidR="00E92057" w:rsidRPr="009A09D4">
        <w:t>quedó integrada por la</w:t>
      </w:r>
      <w:r w:rsidR="00CA2026">
        <w:t xml:space="preserve"> Consejera Electoral</w:t>
      </w:r>
      <w:r w:rsidR="00E92057" w:rsidRPr="009A09D4">
        <w:t xml:space="preserve">, Mtra. Rosselvy del Carmen Domínguez Arévalo, </w:t>
      </w:r>
      <w:r w:rsidR="00CA2026">
        <w:t xml:space="preserve">y los Consejeros Electorales, Lic. Hernán González Sala y </w:t>
      </w:r>
      <w:r w:rsidR="00E92057" w:rsidRPr="009A09D4">
        <w:t>Lic. Vladimir Hernández Venegas</w:t>
      </w:r>
      <w:r w:rsidRPr="009A09D4">
        <w:t>.</w:t>
      </w:r>
    </w:p>
    <w:p w14:paraId="6DE47AD1" w14:textId="585FE260" w:rsidR="00D51AD4" w:rsidRPr="009A09D4" w:rsidRDefault="00D51AD4" w:rsidP="002A5C36">
      <w:pPr>
        <w:pStyle w:val="Ttulo2"/>
        <w:spacing w:line="295" w:lineRule="auto"/>
      </w:pPr>
      <w:r w:rsidRPr="009A09D4">
        <w:t>Ratificación de la Presidencia de la Comisión</w:t>
      </w:r>
    </w:p>
    <w:p w14:paraId="7148A09B" w14:textId="7E7F1519" w:rsidR="00D51AD4" w:rsidRPr="009A09D4" w:rsidRDefault="00D51AD4" w:rsidP="002A5C36">
      <w:pPr>
        <w:spacing w:line="295" w:lineRule="auto"/>
      </w:pPr>
      <w:r w:rsidRPr="009A09D4">
        <w:t>El 31 de octubre de 2022, el Consejo Estatal</w:t>
      </w:r>
      <w:r w:rsidR="007F1038" w:rsidRPr="009A09D4">
        <w:t>,</w:t>
      </w:r>
      <w:r w:rsidRPr="009A09D4">
        <w:t xml:space="preserve"> mediante acuerdo CE/2022/032</w:t>
      </w:r>
      <w:r w:rsidR="007F1038" w:rsidRPr="009A09D4">
        <w:t>,</w:t>
      </w:r>
      <w:r w:rsidRPr="009A09D4">
        <w:t xml:space="preserve"> ratificó a las Consejeras y Consejeros Electorales que asumieron las Presidencias de las Comisiones Permanentes de Organización Electoral y Educación Cívica, de Denuncias y Quejas</w:t>
      </w:r>
      <w:r w:rsidR="00152F39" w:rsidRPr="009A09D4">
        <w:t>,</w:t>
      </w:r>
      <w:r w:rsidRPr="009A09D4">
        <w:t xml:space="preserve"> de Seguimiento al Servicio Profesional Electoral Nacional</w:t>
      </w:r>
      <w:r w:rsidR="00152F39" w:rsidRPr="009A09D4">
        <w:t>,</w:t>
      </w:r>
      <w:r w:rsidRPr="009A09D4">
        <w:t xml:space="preserve"> y de Igualdad de Género y no Discriminación.</w:t>
      </w:r>
    </w:p>
    <w:p w14:paraId="4741F56C" w14:textId="4E5BFF34" w:rsidR="006279B8" w:rsidRPr="009A09D4" w:rsidRDefault="006279B8" w:rsidP="002A5C36">
      <w:pPr>
        <w:spacing w:line="295" w:lineRule="auto"/>
      </w:pPr>
      <w:r w:rsidRPr="009A09D4">
        <w:t xml:space="preserve">En el caso de la </w:t>
      </w:r>
      <w:r w:rsidR="00A7647A">
        <w:t>Comisión de Seguimiento</w:t>
      </w:r>
      <w:r w:rsidRPr="009A09D4">
        <w:t>, se ratificó la Presidencia a cargo del Consejero Electoral, Mtro. Vladimir Hernández Venegas.</w:t>
      </w:r>
    </w:p>
    <w:p w14:paraId="43BB56FF" w14:textId="7973104B" w:rsidR="00D51AD4" w:rsidRPr="009A09D4" w:rsidRDefault="00C447F8" w:rsidP="002A5C36">
      <w:pPr>
        <w:pStyle w:val="Ttulo2"/>
        <w:spacing w:line="295" w:lineRule="auto"/>
      </w:pPr>
      <w:r w:rsidRPr="009A09D4">
        <w:t>Calendario de Sesiones</w:t>
      </w:r>
    </w:p>
    <w:p w14:paraId="05055E97" w14:textId="0E5F6CB0" w:rsidR="00D51AD4" w:rsidRPr="009A09D4" w:rsidRDefault="00D51AD4" w:rsidP="002A5C36">
      <w:pPr>
        <w:spacing w:line="295" w:lineRule="auto"/>
      </w:pPr>
      <w:r w:rsidRPr="009A09D4">
        <w:t xml:space="preserve">El </w:t>
      </w:r>
      <w:r w:rsidR="005F2C05" w:rsidRPr="009A09D4">
        <w:t>2</w:t>
      </w:r>
      <w:r w:rsidR="00730F60">
        <w:t>1</w:t>
      </w:r>
      <w:r w:rsidR="005F2C05" w:rsidRPr="009A09D4">
        <w:t xml:space="preserve"> de diciembre de 2022, </w:t>
      </w:r>
      <w:r w:rsidR="00415BF4" w:rsidRPr="009A09D4">
        <w:t xml:space="preserve">a propuesta de su Presidencia, </w:t>
      </w:r>
      <w:r w:rsidR="005F2C05" w:rsidRPr="009A09D4">
        <w:t xml:space="preserve">el Consejo Estatal aprobó el Calendario Anual de Sesiones Ordinarias correspondiente al ejercicio 2023. </w:t>
      </w:r>
    </w:p>
    <w:p w14:paraId="3A0A7430" w14:textId="7E40A642" w:rsidR="00D51AD4" w:rsidRPr="009A09D4" w:rsidRDefault="00D51AD4" w:rsidP="002A5C36">
      <w:pPr>
        <w:pStyle w:val="Ttulo2"/>
        <w:spacing w:line="295" w:lineRule="auto"/>
      </w:pPr>
      <w:r w:rsidRPr="009A09D4">
        <w:lastRenderedPageBreak/>
        <w:t xml:space="preserve">Presentación </w:t>
      </w:r>
      <w:r w:rsidR="005C52DB" w:rsidRPr="009A09D4">
        <w:t xml:space="preserve">de la Propuesta </w:t>
      </w:r>
      <w:r w:rsidR="00852000" w:rsidRPr="009A09D4">
        <w:t xml:space="preserve">de </w:t>
      </w:r>
      <w:r w:rsidRPr="009A09D4">
        <w:t>Programa Anual de Trabajo</w:t>
      </w:r>
    </w:p>
    <w:p w14:paraId="3AB744AC" w14:textId="61ADBAE8" w:rsidR="00F87845" w:rsidRDefault="00F87845" w:rsidP="002A5C36">
      <w:pPr>
        <w:spacing w:line="295" w:lineRule="auto"/>
      </w:pPr>
      <w:r w:rsidRPr="009A09D4">
        <w:t xml:space="preserve">El </w:t>
      </w:r>
      <w:r>
        <w:t>2</w:t>
      </w:r>
      <w:r w:rsidR="007D2F0C">
        <w:t>6</w:t>
      </w:r>
      <w:r w:rsidRPr="009A09D4">
        <w:t xml:space="preserve"> de enero de 2023, la Secretaria Técnica</w:t>
      </w:r>
      <w:r>
        <w:t xml:space="preserve"> de la </w:t>
      </w:r>
      <w:r w:rsidR="00A7647A">
        <w:t>Comisión de Seguimiento</w:t>
      </w:r>
      <w:r>
        <w:t>,</w:t>
      </w:r>
      <w:r w:rsidRPr="009A09D4">
        <w:t xml:space="preserve"> mediante oficio </w:t>
      </w:r>
      <w:r w:rsidR="007D2F0C">
        <w:t>OESPEN/SE/007/2023,</w:t>
      </w:r>
      <w:r w:rsidRPr="009A09D4">
        <w:t xml:space="preserve"> remitió a la Presidencia del Consejo</w:t>
      </w:r>
      <w:r>
        <w:t xml:space="preserve"> el </w:t>
      </w:r>
      <w:r w:rsidRPr="009A09D4">
        <w:t xml:space="preserve">Programa Anual de Trabajo </w:t>
      </w:r>
      <w:r>
        <w:t xml:space="preserve">propuesto </w:t>
      </w:r>
      <w:r w:rsidRPr="009A09D4">
        <w:t xml:space="preserve">por </w:t>
      </w:r>
      <w:r>
        <w:t xml:space="preserve">dicha </w:t>
      </w:r>
      <w:r w:rsidRPr="009A09D4">
        <w:t>Comisión</w:t>
      </w:r>
      <w:r>
        <w:t>, para su presentación y deliberación por parte de este Consejo Estatal.</w:t>
      </w:r>
    </w:p>
    <w:p w14:paraId="403C6F94" w14:textId="77777777" w:rsidR="00D51AD4" w:rsidRPr="009A09D4" w:rsidRDefault="00D51AD4" w:rsidP="002A5C36">
      <w:pPr>
        <w:pStyle w:val="Ttulo1"/>
        <w:spacing w:line="295" w:lineRule="auto"/>
      </w:pPr>
      <w:r w:rsidRPr="009A09D4">
        <w:t>Considerando</w:t>
      </w:r>
    </w:p>
    <w:p w14:paraId="699156A2" w14:textId="744CA686" w:rsidR="00D51AD4" w:rsidRPr="009A09D4" w:rsidRDefault="00D51AD4" w:rsidP="002A5C36">
      <w:pPr>
        <w:pStyle w:val="Ttulo2"/>
        <w:spacing w:line="295" w:lineRule="auto"/>
      </w:pPr>
      <w:r w:rsidRPr="009A09D4">
        <w:t xml:space="preserve">Fines del Instituto Electoral </w:t>
      </w:r>
    </w:p>
    <w:p w14:paraId="07B564D7" w14:textId="674C8ECB" w:rsidR="00D51AD4" w:rsidRPr="009A09D4" w:rsidRDefault="00D51AD4" w:rsidP="002A5C36">
      <w:pPr>
        <w:spacing w:line="295" w:lineRule="auto"/>
      </w:pPr>
      <w:r w:rsidRPr="009A09D4">
        <w:t>Que, de conformidad con los artículos 9, apartado C, fracción I, de la Constitución Local</w:t>
      </w:r>
      <w:r w:rsidR="000C0F54" w:rsidRPr="009A09D4">
        <w:t>,</w:t>
      </w:r>
      <w:r w:rsidRPr="009A09D4">
        <w:t xml:space="preserve"> 3 numeral 3, 100 y 102 numeral 1</w:t>
      </w:r>
      <w:r w:rsidR="00A0602A" w:rsidRPr="009A09D4">
        <w:t>,</w:t>
      </w:r>
      <w:r w:rsidRPr="009A09D4">
        <w:t xml:space="preserve"> de la Ley Electoral, el Instituto Electoral es un organismo público local de carácter permanente, autónomo en su funcionamiento, independiente en sus decisiones y profesional en su desempeño, dotado de personalidad jurídica y patrimonio propio, cuyas actuaciones se rigen por los principios de certeza, legalidad, independencia, inclusión, imparcialidad, máxima publicidad, transparencia, rendición de cuentas, objetividad, paridad, interculturalidad y las realizarán con perspectiva de género y enfoque de derechos humanos.</w:t>
      </w:r>
    </w:p>
    <w:p w14:paraId="54EA335E" w14:textId="77777777" w:rsidR="00D51AD4" w:rsidRPr="009A09D4" w:rsidRDefault="00D51AD4" w:rsidP="002A5C36">
      <w:pPr>
        <w:spacing w:line="295" w:lineRule="auto"/>
      </w:pPr>
      <w:r w:rsidRPr="009A09D4">
        <w:t>De acuerdo con el artículo 101 de la Ley Electoral, el Instituto Electoral tiene como finalidades: contribuir al desarrollo de la vida pública y democrática en el estado de Tabasco; preservar el fortalecimiento del régimen de partidos políticos; asegurar a las ciudadanas y ciudadanos el ejercicio de sus derechos políticos electorales y vigilar el cumplimiento de sus obligaciones; garantizar la celebración periódica y pacífica de las elecciones para renovar a los integrantes de los poderes Legislativo, Ejecutivo y los ayuntamientos del Estado; velar por la autenticidad y efectividad del voto; llevar a cabo la promoción del voto y coadyuvar en la difusión de la educación cívica y de la cultura democrática; garantizar la paridad de género y el respeto de los derechos humanos de las mujeres en el ámbito político y electoral; y, organizar o coadyuvar a la realización de los ejercicios de consultas populares y demás formas de participación ciudadana, de conformidad con lo que dispongan las leyes.</w:t>
      </w:r>
    </w:p>
    <w:p w14:paraId="37C17DE2" w14:textId="3B9D52B3" w:rsidR="00D51AD4" w:rsidRPr="009A09D4" w:rsidRDefault="00D51AD4" w:rsidP="002A5C36">
      <w:pPr>
        <w:pStyle w:val="Ttulo2"/>
        <w:spacing w:line="295" w:lineRule="auto"/>
      </w:pPr>
      <w:r w:rsidRPr="009A09D4">
        <w:lastRenderedPageBreak/>
        <w:t>Órganos Centrales del Instituto Electoral</w:t>
      </w:r>
    </w:p>
    <w:p w14:paraId="15070DB0" w14:textId="77777777" w:rsidR="00D51AD4" w:rsidRPr="009A09D4" w:rsidRDefault="00D51AD4" w:rsidP="002A5C36">
      <w:pPr>
        <w:spacing w:line="295" w:lineRule="auto"/>
      </w:pPr>
      <w:r w:rsidRPr="009A09D4">
        <w:t>Que, el artículo 105 de la Ley Electoral, señala que el Consejo Estatal; la Presidencia del Consejo Estatal; la Junta Estatal Ejecutiva, la Secretaría Ejecutiva y el Órgano Técnico de Fiscalización, constituyen los órganos centrales del Instituto Electoral.</w:t>
      </w:r>
    </w:p>
    <w:p w14:paraId="4AA4D076" w14:textId="1D7A65C9" w:rsidR="00D51AD4" w:rsidRPr="009A09D4" w:rsidRDefault="00D51AD4" w:rsidP="002A5C36">
      <w:pPr>
        <w:pStyle w:val="Ttulo2"/>
        <w:spacing w:line="295" w:lineRule="auto"/>
      </w:pPr>
      <w:r w:rsidRPr="009A09D4">
        <w:t>Órgano Superior de Dirección del Instituto Electoral</w:t>
      </w:r>
    </w:p>
    <w:p w14:paraId="2FDE0933" w14:textId="77777777" w:rsidR="00D51AD4" w:rsidRPr="009A09D4" w:rsidRDefault="00D51AD4" w:rsidP="002A5C36">
      <w:pPr>
        <w:spacing w:line="295" w:lineRule="auto"/>
      </w:pPr>
      <w:r w:rsidRPr="009A09D4">
        <w:t>Que, de acuerdo con el artículo 106 de la Ley Electoral, el Consejo Estatal es el órgano superior de dirección, responsable de vigilar el cumplimiento de las disposiciones constitucionales y legales en materia electoral, así como de velar porque los principios de certeza, legalidad, independencia, máxima publicidad, imparcialidad, objetividad y paridad de género, guíen todas las actividades del Instituto Electoral.</w:t>
      </w:r>
    </w:p>
    <w:p w14:paraId="7413A431" w14:textId="7B9F91CE" w:rsidR="00D51AD4" w:rsidRPr="009A09D4" w:rsidRDefault="00D51AD4" w:rsidP="002A5C36">
      <w:pPr>
        <w:pStyle w:val="Ttulo2"/>
        <w:spacing w:line="295" w:lineRule="auto"/>
      </w:pPr>
      <w:r w:rsidRPr="009A09D4">
        <w:t>Integración del Órgano de Dirección Superior</w:t>
      </w:r>
    </w:p>
    <w:p w14:paraId="308EF49F" w14:textId="4140C834" w:rsidR="00D51AD4" w:rsidRPr="009A09D4" w:rsidRDefault="00D51AD4" w:rsidP="002A5C36">
      <w:pPr>
        <w:spacing w:line="295" w:lineRule="auto"/>
      </w:pPr>
      <w:r w:rsidRPr="009A09D4">
        <w:t>Que, los artículos 99 de la Ley General y 107, numeral 1 de la Ley Electoral, disponen que el Consejo Estatal se integrará por una Consejera o un Consejero Presidente y seis consejeras y consejeros electorales, con voz y voto; la Secretaria o el Secretario Ejecutivo y una o un representante por cada partido político con registro nacional o estatal, quienes concurrirán a las sesiones sólo con derecho a voz.</w:t>
      </w:r>
    </w:p>
    <w:p w14:paraId="479429FB" w14:textId="35A7D924" w:rsidR="003D225B" w:rsidRPr="009A09D4" w:rsidRDefault="00A35925" w:rsidP="002A5C36">
      <w:pPr>
        <w:pStyle w:val="Ttulo2"/>
        <w:spacing w:line="295" w:lineRule="auto"/>
      </w:pPr>
      <w:r w:rsidRPr="009A09D4">
        <w:t xml:space="preserve">Competencia </w:t>
      </w:r>
      <w:r w:rsidR="003D225B" w:rsidRPr="009A09D4">
        <w:t xml:space="preserve">del Consejo Estatal </w:t>
      </w:r>
    </w:p>
    <w:p w14:paraId="19877BDE" w14:textId="7518E31C" w:rsidR="00F16F21" w:rsidRPr="009A09D4" w:rsidRDefault="003D225B" w:rsidP="002A5C36">
      <w:pPr>
        <w:spacing w:line="295" w:lineRule="auto"/>
      </w:pPr>
      <w:r w:rsidRPr="009A09D4">
        <w:t xml:space="preserve">Que, </w:t>
      </w:r>
      <w:r w:rsidR="00F16F21" w:rsidRPr="009A09D4">
        <w:t xml:space="preserve">de conformidad con el artículo 115, numeral 1, fracciones XI, XV y XXXIX de la Ley Electoral, corresponde al Consejo Estatal desarrollar y ejecutar los programas en el Estado, de educación cívica, paridad de género y respeto de los derechos humanos de las mujeres en el ámbito político electoral, </w:t>
      </w:r>
      <w:r w:rsidR="00F51A20" w:rsidRPr="009A09D4">
        <w:t xml:space="preserve">así como </w:t>
      </w:r>
      <w:r w:rsidR="00F16F21" w:rsidRPr="009A09D4">
        <w:t>llevar a cabo las actividades necesarias para la preparación de la jornada electoral y ejercer las atribuciones que determine la Ley General y aquellas no reservadas al INE que se establezcan en la legislación local.</w:t>
      </w:r>
    </w:p>
    <w:p w14:paraId="1A1B4BB1" w14:textId="08DD3919" w:rsidR="003D225B" w:rsidRPr="009A09D4" w:rsidRDefault="000F1621" w:rsidP="002A5C36">
      <w:pPr>
        <w:spacing w:line="295" w:lineRule="auto"/>
      </w:pPr>
      <w:r w:rsidRPr="009A09D4">
        <w:t>Asimismo</w:t>
      </w:r>
      <w:r w:rsidR="00F16F21" w:rsidRPr="009A09D4">
        <w:t xml:space="preserve">, </w:t>
      </w:r>
      <w:r w:rsidR="009152C7" w:rsidRPr="009A09D4">
        <w:t xml:space="preserve">en términos del artículo </w:t>
      </w:r>
      <w:r w:rsidR="003D225B" w:rsidRPr="009A09D4">
        <w:t xml:space="preserve">115, numeral </w:t>
      </w:r>
      <w:r w:rsidR="009152C7" w:rsidRPr="009A09D4">
        <w:t xml:space="preserve">2 </w:t>
      </w:r>
      <w:r w:rsidR="003D225B" w:rsidRPr="009A09D4">
        <w:t xml:space="preserve">de la Ley Electoral, el Consejo Estatal podrá dictar los acuerdos necesarios que resulten pertinentes </w:t>
      </w:r>
      <w:r w:rsidR="003D225B" w:rsidRPr="009A09D4">
        <w:lastRenderedPageBreak/>
        <w:t>para garantizar el oportuno y adecuado ejercicio de sus facultades y atribuciones, previstas de manera implícita o expresa en la citada Ley.</w:t>
      </w:r>
    </w:p>
    <w:p w14:paraId="7B822792" w14:textId="3054D070" w:rsidR="00BF64F5" w:rsidRDefault="00BF64F5" w:rsidP="002A5C36">
      <w:pPr>
        <w:pStyle w:val="Ttulo2"/>
        <w:spacing w:line="295" w:lineRule="auto"/>
      </w:pPr>
      <w:r>
        <w:t xml:space="preserve">Atribución del Instituto Electoral </w:t>
      </w:r>
      <w:r w:rsidRPr="00BF64F5">
        <w:t>de aplicar reglas, lineamientos,</w:t>
      </w:r>
      <w:r>
        <w:t xml:space="preserve"> criterios emitidos por el INE</w:t>
      </w:r>
    </w:p>
    <w:p w14:paraId="463A7F96" w14:textId="689D7443" w:rsidR="00BF64F5" w:rsidRPr="00BF64F5" w:rsidRDefault="00BF64F5" w:rsidP="002A5C36">
      <w:pPr>
        <w:spacing w:line="295" w:lineRule="auto"/>
      </w:pPr>
      <w:r w:rsidRPr="00BF64F5">
        <w:t>Que, el artículo 104, numeral 1, inciso a), de la Ley General, establece que corresponde a los organismos electorales la aplicación de las disposiciones generales, reglas, lineamientos, criterios y formatos que, determine el INE en ejercicio de las facultades que le confiere la Constitución Federal y dicha Ley.</w:t>
      </w:r>
    </w:p>
    <w:p w14:paraId="5545D74B" w14:textId="661109E4" w:rsidR="00EC0570" w:rsidRPr="00EC0570" w:rsidRDefault="00EC0570" w:rsidP="002A5C36">
      <w:pPr>
        <w:pStyle w:val="Ttulo2"/>
        <w:spacing w:line="295" w:lineRule="auto"/>
      </w:pPr>
      <w:r>
        <w:t>Servicio Profesional</w:t>
      </w:r>
    </w:p>
    <w:p w14:paraId="1CBF501A" w14:textId="7482B425" w:rsidR="00EC0570" w:rsidRPr="00EC0570" w:rsidRDefault="00EC0570" w:rsidP="002A5C36">
      <w:pPr>
        <w:spacing w:line="295" w:lineRule="auto"/>
      </w:pPr>
      <w:r>
        <w:t xml:space="preserve">Que, como lo dispone el artículo 41, Base V, Apartado D de la Constitución Federal, el Servicio Profesional comprende la selección, ingreso, capacitación, profesionalización, promoción, evaluación, rotación, permanencia y disciplina, de los servidores públicos de los órganos ejecutivos y técnicos del INE y de los organismos electorales de las entidades federativas. </w:t>
      </w:r>
    </w:p>
    <w:p w14:paraId="6843A970" w14:textId="77777777" w:rsidR="00EC0570" w:rsidRDefault="00EC0570" w:rsidP="002A5C36">
      <w:pPr>
        <w:spacing w:line="295" w:lineRule="auto"/>
      </w:pPr>
      <w:r>
        <w:t>En el caso de la entidad, los artículos 160 y 161 de la Ley Electoral, establecen que, para asegurar el desempeño profesional de las actividades del Instituto Electoral, el INE regulará la organización y funcionamiento del Servicio Profesional, de conformidad con lo establecido por el numeral 41 de la Constitución Federal;  que además, la organización del servicio será regulada por las normas establecidas por la Ley General y por las del Estatuto que apruebe el Consejo  General, en lo relativo al sistema correspondiente a los organismos electorales.</w:t>
      </w:r>
    </w:p>
    <w:p w14:paraId="70712555" w14:textId="0B008F52" w:rsidR="00FB3CC9" w:rsidRDefault="00EC0570" w:rsidP="002A5C36">
      <w:pPr>
        <w:pStyle w:val="Ttulo2"/>
        <w:spacing w:line="295" w:lineRule="auto"/>
      </w:pPr>
      <w:r>
        <w:t>Facultad del INE para r</w:t>
      </w:r>
      <w:r w:rsidR="00FB3CC9">
        <w:t>egular el Servicio Profesional</w:t>
      </w:r>
    </w:p>
    <w:p w14:paraId="45147DDA" w14:textId="57804F5A" w:rsidR="00EC0570" w:rsidRDefault="00EC0570" w:rsidP="002A5C36">
      <w:pPr>
        <w:spacing w:line="295" w:lineRule="auto"/>
      </w:pPr>
      <w:r>
        <w:t xml:space="preserve">Que de conformidad con lo dispuesto por el artículo 41, párrafo segundo, Base V, Apartado D, párrafos primero y segundo, de la Constitución Federal, corresponde al INE regular la organización y funcionamiento del Servicio Profesional, y que comprende la selección, ingreso, capacitación, profesionalización, promoción, evaluación, rotación, permanencia y disciplina, </w:t>
      </w:r>
      <w:r>
        <w:lastRenderedPageBreak/>
        <w:t>de los servidores públicos de los órganos ejecutivos y técnicos del Instituto y de los organismos electorales de las entidades federativas.</w:t>
      </w:r>
    </w:p>
    <w:p w14:paraId="790328E4" w14:textId="6673F2F3" w:rsidR="00405306" w:rsidRDefault="00EC0570" w:rsidP="002A5C36">
      <w:pPr>
        <w:pStyle w:val="Ttulo2"/>
        <w:spacing w:line="295" w:lineRule="auto"/>
      </w:pPr>
      <w:r>
        <w:t>Integración, organización y funcionam</w:t>
      </w:r>
      <w:r w:rsidR="00405306">
        <w:t>iento del Servicio Profesional</w:t>
      </w:r>
    </w:p>
    <w:p w14:paraId="59DA81CA" w14:textId="237CBD5B" w:rsidR="00EC0570" w:rsidRDefault="00EC0570" w:rsidP="002A5C36">
      <w:pPr>
        <w:spacing w:line="295" w:lineRule="auto"/>
      </w:pPr>
      <w:r>
        <w:t>Que, conforme a lo dispuesto por el artículo 202, numerales 1 y 2 de la Ley General, el Servicio Profesional contará con dos sistemas: uno para el INE y otro para los organismos electorales, los cuales estarán integrados por las y los servidores públicos de sus órganos ejecutivos y técnicos; además, para su adecuado funcionamiento, el INE regulará la organización y aplicar</w:t>
      </w:r>
      <w:r w:rsidR="00AE6D8B">
        <w:t>á los distintos mecanismos del s</w:t>
      </w:r>
      <w:r>
        <w:t>ervicio de conformidad con lo dispuesto en el apartado D, de la Base V, del artículo 41, de la Constitución Federal.</w:t>
      </w:r>
    </w:p>
    <w:p w14:paraId="75A8E28D" w14:textId="4E08FE5E" w:rsidR="00EB6D78" w:rsidRDefault="00EC0570" w:rsidP="002A5C36">
      <w:pPr>
        <w:pStyle w:val="Ttulo2"/>
        <w:spacing w:line="295" w:lineRule="auto"/>
      </w:pPr>
      <w:r>
        <w:t>Servicio Profesional del Si</w:t>
      </w:r>
      <w:r w:rsidR="00EB6D78">
        <w:t>stema de Organismos Electorales</w:t>
      </w:r>
      <w:r>
        <w:t xml:space="preserve"> </w:t>
      </w:r>
    </w:p>
    <w:p w14:paraId="343EC393" w14:textId="19C6AB5E" w:rsidR="00EC0570" w:rsidRPr="00EC0570" w:rsidRDefault="00EC0570" w:rsidP="002A5C36">
      <w:pPr>
        <w:spacing w:line="295" w:lineRule="auto"/>
      </w:pPr>
      <w:r>
        <w:t>Que, el artículo 30, numeral 3, de la Ley General, prevé entre otras cosas que, para el desempeño de sus actividades, los organismos electorales contarán con un cuerpo de servidores públicos en sus órganos ejecutivos y técnicos, integrados en un Servicio Profesional que se regirá por el Estatuto que al efecto apruebe el Consejo General. Asimismo, a través del Servicio Profesional, los organismos electorales contendrán los respectivos mecanismos de selección, ingreso, capacitación, profesionalización, promoción, evaluación, rotación, permanencia y disciplina, así como el catálogo general de los cargos y puestos del personal ejecutivo y técnico, correspondiendo su regulación, organización, funcionamiento y rectoría al INE.</w:t>
      </w:r>
    </w:p>
    <w:p w14:paraId="774B454F" w14:textId="37986E91" w:rsidR="00D51AD4" w:rsidRPr="009A09D4" w:rsidRDefault="00D51AD4" w:rsidP="002A5C36">
      <w:pPr>
        <w:pStyle w:val="Ttulo2"/>
        <w:spacing w:line="295" w:lineRule="auto"/>
      </w:pPr>
      <w:r w:rsidRPr="009A09D4">
        <w:t>Comisiones permanentes y temporales</w:t>
      </w:r>
    </w:p>
    <w:p w14:paraId="1DAEE7D4" w14:textId="68BBFFFD" w:rsidR="00D51AD4" w:rsidRPr="009A09D4" w:rsidRDefault="00D51AD4" w:rsidP="002A5C36">
      <w:pPr>
        <w:spacing w:line="295" w:lineRule="auto"/>
      </w:pPr>
      <w:r w:rsidRPr="009A09D4">
        <w:t>Que, el artículo 113, numeral 1 de la Ley Electoral, establece que el Consejo Estatal constituirá las comisiones permanentes de Vinculación con el INE, de Organización Electoral y Educación Cívica, de Denuncias y Quejas, y de Igualdad de Género y no Discriminación; así como las comisiones temporales que considere pertinentes para el desempeño de sus atribuciones, las que serán presididas por una Consejera o un Consejero Electoral, salvo la de Vinculación con el INE, cuya titularidad corresponde a la Presidencia del Consejo.</w:t>
      </w:r>
    </w:p>
    <w:p w14:paraId="5A007ADE" w14:textId="446A10E8" w:rsidR="00D51AD4" w:rsidRDefault="009D04EE" w:rsidP="002A5C36">
      <w:pPr>
        <w:spacing w:line="295" w:lineRule="auto"/>
      </w:pPr>
      <w:r w:rsidRPr="009A09D4">
        <w:lastRenderedPageBreak/>
        <w:t>Además</w:t>
      </w:r>
      <w:r w:rsidR="00D51AD4" w:rsidRPr="009A09D4">
        <w:t>, en términos del numeral 2 del artículo en cita, las comisiones se integrarán con un máximo de tres consejeras y consejeros electorales bajo el principio de paridad de género; podrán participar en ellas, con voz, pero sin voto, las consejeras y los consejeros representantes de los partidos políticos.</w:t>
      </w:r>
    </w:p>
    <w:p w14:paraId="3417717E" w14:textId="29A5E56C" w:rsidR="009231A8" w:rsidRPr="009A09D4" w:rsidRDefault="009231A8" w:rsidP="002A5C36">
      <w:pPr>
        <w:spacing w:line="295" w:lineRule="auto"/>
      </w:pPr>
      <w:r>
        <w:t xml:space="preserve">Por su parte, </w:t>
      </w:r>
      <w:r w:rsidR="00B04FAD">
        <w:t>p</w:t>
      </w:r>
      <w:r>
        <w:t xml:space="preserve">ara coordinar el </w:t>
      </w:r>
      <w:r w:rsidR="00B04FAD">
        <w:t xml:space="preserve">Servicio Electoral del </w:t>
      </w:r>
      <w:r>
        <w:t xml:space="preserve">Sistema </w:t>
      </w:r>
      <w:r w:rsidR="00B04FAD">
        <w:t xml:space="preserve">de Organismos Electorales, el Estatuto, de conformidad con su artículo 473, </w:t>
      </w:r>
      <w:r>
        <w:t>mandata la conformación en dichos organismos de Comisiones de Seguimiento del Servicio, de</w:t>
      </w:r>
      <w:r w:rsidR="00B04FAD">
        <w:t xml:space="preserve"> </w:t>
      </w:r>
      <w:r>
        <w:t>Consejeros Electorales, así como de Órganos de Enlace que, primordialmente</w:t>
      </w:r>
      <w:r w:rsidR="00B04FAD">
        <w:t xml:space="preserve"> </w:t>
      </w:r>
      <w:r>
        <w:t>coadyuven en las tareas coordinadas por la Dirección Ejecutiva del Servicio</w:t>
      </w:r>
      <w:r w:rsidR="00B04FAD">
        <w:t xml:space="preserve"> </w:t>
      </w:r>
      <w:r>
        <w:t>Profesional Electoral Nacional en materia de selección, ingreso, profesionalización, capacitación, promoción, evaluación, cambios de adscripción, rotación, titularidad, permanencia y disciplina, de acuerdo con la normativa que</w:t>
      </w:r>
      <w:r w:rsidR="00B04FAD">
        <w:t xml:space="preserve"> </w:t>
      </w:r>
      <w:r>
        <w:t xml:space="preserve">emita el </w:t>
      </w:r>
      <w:r w:rsidR="00B04FAD">
        <w:t>INE.</w:t>
      </w:r>
    </w:p>
    <w:p w14:paraId="5F768218" w14:textId="0A5B9252" w:rsidR="00D51AD4" w:rsidRPr="009A09D4" w:rsidRDefault="00D51AD4" w:rsidP="002A5C36">
      <w:pPr>
        <w:pStyle w:val="Ttulo2"/>
        <w:spacing w:line="295" w:lineRule="auto"/>
      </w:pPr>
      <w:r w:rsidRPr="009A09D4">
        <w:t>Obligación de presentar un Programa Anual de Trabajo</w:t>
      </w:r>
    </w:p>
    <w:p w14:paraId="7F55E5BF" w14:textId="28526E20" w:rsidR="00B2146F" w:rsidRPr="009A09D4" w:rsidRDefault="00B2146F" w:rsidP="002A5C36">
      <w:pPr>
        <w:spacing w:line="295" w:lineRule="auto"/>
      </w:pPr>
      <w:r w:rsidRPr="009A09D4">
        <w:t xml:space="preserve">Que, el artículo 12 del Reglamento de Comisiones establece que, las comisiones permanentes, entre ellas la </w:t>
      </w:r>
      <w:r w:rsidR="00A7647A">
        <w:t>Comisión de Seguimiento</w:t>
      </w:r>
      <w:r w:rsidRPr="009A09D4">
        <w:t>, durante el mes de enero del año correspondiente, deberán presentar al Consejo Estatal para su aprobación, un Programa Anual de Trabajo acorde a los programas y políticas previamente establecidos.</w:t>
      </w:r>
    </w:p>
    <w:p w14:paraId="53C55C53" w14:textId="22DD4DF6" w:rsidR="00D51AD4" w:rsidRPr="009A09D4" w:rsidRDefault="00D51AD4" w:rsidP="002A5C36">
      <w:pPr>
        <w:pStyle w:val="Ttulo2"/>
        <w:spacing w:line="295" w:lineRule="auto"/>
      </w:pPr>
      <w:r w:rsidRPr="00B7341E">
        <w:t>Atribuciones</w:t>
      </w:r>
      <w:r w:rsidRPr="009A09D4">
        <w:t xml:space="preserve"> de la </w:t>
      </w:r>
      <w:r w:rsidR="00A7647A">
        <w:t>Comisión de Seguimiento</w:t>
      </w:r>
    </w:p>
    <w:p w14:paraId="1EBC78DD" w14:textId="4F71522F" w:rsidR="0086471F" w:rsidRPr="0086471F" w:rsidRDefault="00D51AD4" w:rsidP="002A5C36">
      <w:pPr>
        <w:spacing w:line="295" w:lineRule="auto"/>
      </w:pPr>
      <w:r w:rsidRPr="009A09D4">
        <w:t>Que, de la interpretación sistemática y funcional de los artículos 38 y 113, numerales 1 y 3 de la Ley Electoral; y 1</w:t>
      </w:r>
      <w:r w:rsidR="00BE293A">
        <w:t>6</w:t>
      </w:r>
      <w:r w:rsidRPr="009A09D4">
        <w:t xml:space="preserve">, numeral 1 del Reglamento del Comisiones del Consejo Estatal, la </w:t>
      </w:r>
      <w:r w:rsidR="00A7647A">
        <w:t>Comisión de Seguimiento</w:t>
      </w:r>
      <w:r w:rsidRPr="009A09D4">
        <w:t xml:space="preserve"> es el órgano auxiliar del Consejo Estatal, </w:t>
      </w:r>
      <w:r w:rsidR="00D136C7" w:rsidRPr="009A09D4">
        <w:t>que tiene entre otras funciones,</w:t>
      </w:r>
      <w:r w:rsidR="0086471F">
        <w:t xml:space="preserve"> g</w:t>
      </w:r>
      <w:r w:rsidR="0086471F" w:rsidRPr="0086471F">
        <w:t>arantizar la correcta implementación y funcio</w:t>
      </w:r>
      <w:r w:rsidR="00AB522F">
        <w:t>namiento de los mecanismos del Se</w:t>
      </w:r>
      <w:r w:rsidR="0086471F" w:rsidRPr="0086471F">
        <w:t>rvicio</w:t>
      </w:r>
      <w:r w:rsidR="00AB522F">
        <w:t xml:space="preserve"> Profesional</w:t>
      </w:r>
      <w:r w:rsidR="0086471F" w:rsidRPr="0086471F">
        <w:t xml:space="preserve">, bajo la rectoría del </w:t>
      </w:r>
      <w:r w:rsidR="0086471F">
        <w:t xml:space="preserve">INE </w:t>
      </w:r>
      <w:r w:rsidR="0086471F" w:rsidRPr="0086471F">
        <w:t>y conforme a las disposiciones de l</w:t>
      </w:r>
      <w:r w:rsidR="00854B03">
        <w:t xml:space="preserve">a Constitución, la Ley General y </w:t>
      </w:r>
      <w:r w:rsidR="0086471F" w:rsidRPr="0086471F">
        <w:t>el Estatuto</w:t>
      </w:r>
      <w:r w:rsidR="0086471F">
        <w:t>.</w:t>
      </w:r>
    </w:p>
    <w:p w14:paraId="530E2376" w14:textId="0537A994" w:rsidR="00D51AD4" w:rsidRPr="009A09D4" w:rsidRDefault="00D51AD4" w:rsidP="002A5C36">
      <w:pPr>
        <w:pStyle w:val="Ttulo2"/>
        <w:spacing w:line="295" w:lineRule="auto"/>
      </w:pPr>
      <w:r w:rsidRPr="009A09D4">
        <w:t xml:space="preserve">Programa Anual de Trabajo de la </w:t>
      </w:r>
      <w:r w:rsidR="00A7647A">
        <w:t>Comisión de Seguimiento</w:t>
      </w:r>
    </w:p>
    <w:p w14:paraId="4AD25980" w14:textId="1B82B876" w:rsidR="002106C2" w:rsidRPr="002106C2" w:rsidRDefault="003D0C78" w:rsidP="002A5C36">
      <w:pPr>
        <w:spacing w:line="295" w:lineRule="auto"/>
      </w:pPr>
      <w:r w:rsidRPr="009A09D4">
        <w:t xml:space="preserve">Que, </w:t>
      </w:r>
      <w:r w:rsidR="002106C2">
        <w:t xml:space="preserve">siguiendo los parámetros y con el propósito de cumplir con los objetivos del Servicio Profesional Electoral Nacional, la Comisión de Seguimiento </w:t>
      </w:r>
      <w:r w:rsidR="002106C2">
        <w:lastRenderedPageBreak/>
        <w:t xml:space="preserve">presenta su Programa Anual de Trabajo para el ejercicio 2023, </w:t>
      </w:r>
      <w:r w:rsidR="002106C2" w:rsidRPr="002106C2">
        <w:t>el cual, tiene por objeto dar cumplimiento, seguimiento y aplicación de las actividades a implementar, en líneas de acción en lo referente a cambios de adscripción y rotación, encargadurías de despacho, profesionalización y capacitación, evaluación del desempeño, titularidad y promoción en rango, incentivos, concurso público, previsto para el transcurso de este año.</w:t>
      </w:r>
    </w:p>
    <w:p w14:paraId="6E13EA4C" w14:textId="32BF21DD" w:rsidR="002106C2" w:rsidRDefault="002106C2" w:rsidP="002A5C36">
      <w:pPr>
        <w:spacing w:line="295" w:lineRule="auto"/>
      </w:pPr>
      <w:r w:rsidRPr="002106C2">
        <w:t>El Programa Anual de Trabajo 2023 de la Comisión de Seguimiento, se constituye por cuatro apartados primordiales, en el primero, se fundamentará con un marco legal, tanto las facultades, obligaciones y lo referente a las acciones por parte de la misma Comisión, el segundo apartado tratará lo concerniente a la integración además de las atribuciones de quienes conforman la Comisión de Seguimiento, seguidamente, en el tercer apartado se detallarán los objetivos generales y específicos del Programa, y finalmente, en el apartado cuarto, el lector ubicará la calendarización de  las actividades específicas de seguimiento así como las sesiones de la Comisión, proyectadas realizar para el año 2023.</w:t>
      </w:r>
    </w:p>
    <w:p w14:paraId="733908FA" w14:textId="38B51B24" w:rsidR="00D51AD4" w:rsidRPr="009A09D4" w:rsidRDefault="00D51AD4" w:rsidP="002A5C36">
      <w:pPr>
        <w:spacing w:line="295" w:lineRule="auto"/>
        <w:ind w:left="0"/>
      </w:pPr>
      <w:r w:rsidRPr="009A09D4">
        <w:t>Sobre la base de las consideraciones señaladas, este Consejo Estatal emite el siguiente:</w:t>
      </w:r>
    </w:p>
    <w:p w14:paraId="6E1A4818" w14:textId="77777777" w:rsidR="00D51AD4" w:rsidRPr="009A09D4" w:rsidRDefault="00D51AD4" w:rsidP="002A5C36">
      <w:pPr>
        <w:pStyle w:val="Ttulo1"/>
        <w:spacing w:line="295" w:lineRule="auto"/>
      </w:pPr>
      <w:r w:rsidRPr="009A09D4">
        <w:t>Acuerdo</w:t>
      </w:r>
    </w:p>
    <w:p w14:paraId="014CA281" w14:textId="226EDADE" w:rsidR="00D51AD4" w:rsidRPr="009A09D4" w:rsidRDefault="00D51AD4" w:rsidP="002A5C36">
      <w:pPr>
        <w:pStyle w:val="Puntos"/>
        <w:spacing w:line="295" w:lineRule="auto"/>
        <w:ind w:left="0"/>
      </w:pPr>
      <w:r w:rsidRPr="009A09D4">
        <w:rPr>
          <w:b/>
          <w:bCs/>
        </w:rPr>
        <w:t>Primero.</w:t>
      </w:r>
      <w:r w:rsidRPr="009A09D4">
        <w:t xml:space="preserve"> Por las razones y argumentos mencionados, se aprueba el Programa Anual de Trabajo para el año 2023 de la </w:t>
      </w:r>
      <w:r w:rsidR="00E92057" w:rsidRPr="009A09D4">
        <w:t xml:space="preserve">Comisión </w:t>
      </w:r>
      <w:r w:rsidR="00324201">
        <w:t xml:space="preserve">Permanente de Seguimiento al Servicio Profesional Electoral </w:t>
      </w:r>
      <w:r w:rsidRPr="009A09D4">
        <w:t>del Instituto Electoral y de Participación Ciudadana de Tabasco</w:t>
      </w:r>
      <w:r w:rsidR="00312D81" w:rsidRPr="009A09D4">
        <w:t>,</w:t>
      </w:r>
      <w:r w:rsidR="00CD092F" w:rsidRPr="009A09D4">
        <w:t xml:space="preserve"> anexo</w:t>
      </w:r>
      <w:r w:rsidRPr="009A09D4">
        <w:t xml:space="preserve"> al presente acuerdo.</w:t>
      </w:r>
    </w:p>
    <w:p w14:paraId="7402E3FC" w14:textId="77777777" w:rsidR="00D51AD4" w:rsidRPr="009A09D4" w:rsidRDefault="00D51AD4" w:rsidP="002A5C36">
      <w:pPr>
        <w:pStyle w:val="Puntos"/>
        <w:spacing w:line="295" w:lineRule="auto"/>
        <w:ind w:left="0"/>
      </w:pPr>
      <w:r w:rsidRPr="009A09D4">
        <w:rPr>
          <w:b/>
          <w:bCs/>
        </w:rPr>
        <w:t>Segundo.</w:t>
      </w:r>
      <w:r w:rsidRPr="009A09D4">
        <w:t xml:space="preserve"> Se instruye a la Secretaría Ejecutiva de este Instituto para que, a través de la Coordinación de Vinculación con el Instituto Nacional Electoral, notifique el presente acuerdo al citado organismo nacional, a través de su Unidad Técnica de Vinculación con los Organismos Públicos Locales, para los efectos correspondientes.</w:t>
      </w:r>
    </w:p>
    <w:p w14:paraId="2DF1326F" w14:textId="77777777" w:rsidR="00D51AD4" w:rsidRPr="009A09D4" w:rsidRDefault="00D51AD4" w:rsidP="002A5C36">
      <w:pPr>
        <w:pStyle w:val="Puntos"/>
        <w:spacing w:line="295" w:lineRule="auto"/>
        <w:ind w:left="0"/>
      </w:pPr>
      <w:r w:rsidRPr="009A09D4">
        <w:rPr>
          <w:b/>
          <w:bCs/>
        </w:rPr>
        <w:lastRenderedPageBreak/>
        <w:t>Tercero.</w:t>
      </w:r>
      <w:r w:rsidRPr="009A09D4">
        <w:t xml:space="preserve"> De conformidad con lo dispuesto en el artículo 114 de la Ley Electoral y de Partidos Políticos del Estado de Tabasco, publíquese el contenido del presente acuerdo en el Periódico Oficial del Estado y en la página de internet del Instituto.</w:t>
      </w:r>
    </w:p>
    <w:p w14:paraId="1928A352" w14:textId="01CC16BA" w:rsidR="00D51AD4" w:rsidRDefault="00D51AD4" w:rsidP="002A5C36">
      <w:pPr>
        <w:pStyle w:val="Puntos"/>
        <w:spacing w:line="295" w:lineRule="auto"/>
        <w:ind w:left="0"/>
      </w:pPr>
      <w:r w:rsidRPr="009A09D4">
        <w:t xml:space="preserve">El presente acuerdo fue aprobado en sesión ordinaria efectuada el </w:t>
      </w:r>
      <w:r w:rsidR="005D5151" w:rsidRPr="009A09D4">
        <w:t xml:space="preserve">31 de enero </w:t>
      </w:r>
      <w:r w:rsidRPr="009A09D4">
        <w:t xml:space="preserve">del año dos mil veintitrés, por votación </w:t>
      </w:r>
      <w:r w:rsidR="009B1ABB">
        <w:t>unánime</w:t>
      </w:r>
      <w:r w:rsidRPr="009A09D4">
        <w:t xml:space="preserve"> de las y los Consejeros Electorales del Consejo Estatal del Instituto Electoral y de Participación Ciudadana de Tabasco: Mtra. Rosselvy del Carmen Domínguez Arévalo, Licda. María Elvia Magaña Sandoval, Mtro. Juan Correa López, M.D. Víctor Humberto Mejía Naranjo, Lic. Hernán González Sala, Lic. Vladimir Hernández Venegas y la Consejera Presidenta, </w:t>
      </w:r>
      <w:r w:rsidR="00304462" w:rsidRPr="009A09D4">
        <w:t>Mtra</w:t>
      </w:r>
      <w:r w:rsidRPr="009A09D4">
        <w:t>. Elizabeth Nava Gutiérrez.</w:t>
      </w:r>
    </w:p>
    <w:p w14:paraId="3DBFA909" w14:textId="77777777" w:rsidR="0083287A" w:rsidRPr="009A09D4" w:rsidRDefault="0083287A" w:rsidP="002B3031">
      <w:pPr>
        <w:pStyle w:val="Puntos"/>
        <w:ind w:left="0"/>
      </w:pPr>
      <w:bookmarkStart w:id="0" w:name="_GoBack"/>
      <w:bookmarkEnd w:id="0"/>
    </w:p>
    <w:p w14:paraId="7D5CC95B" w14:textId="45681B00" w:rsidR="00EB7258" w:rsidRDefault="00EB7258" w:rsidP="00B7341E">
      <w:pPr>
        <w:pStyle w:val="Puntos"/>
      </w:pPr>
    </w:p>
    <w:p w14:paraId="45E09761" w14:textId="77777777" w:rsidR="00AE584D" w:rsidRPr="009A09D4" w:rsidRDefault="00AE584D" w:rsidP="00B7341E">
      <w:pPr>
        <w:pStyle w:val="Puntos"/>
      </w:pPr>
    </w:p>
    <w:p w14:paraId="66F7F176" w14:textId="6A31C31A" w:rsidR="00012B73" w:rsidRDefault="00012B73" w:rsidP="002B3031">
      <w:pPr>
        <w:ind w:left="0"/>
      </w:pPr>
    </w:p>
    <w:tbl>
      <w:tblPr>
        <w:tblStyle w:val="Tablaconcuadrcula"/>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78"/>
        <w:gridCol w:w="4400"/>
      </w:tblGrid>
      <w:tr w:rsidR="007B63AE" w:rsidRPr="001B4A09" w14:paraId="0A63656E" w14:textId="77777777" w:rsidTr="00D3762F">
        <w:tc>
          <w:tcPr>
            <w:tcW w:w="4395" w:type="dxa"/>
          </w:tcPr>
          <w:p w14:paraId="65CD7ECC" w14:textId="77777777" w:rsidR="007B63AE" w:rsidRPr="00C26EA6" w:rsidRDefault="007B63AE" w:rsidP="00D3762F">
            <w:pPr>
              <w:widowControl w:val="0"/>
              <w:spacing w:after="0" w:line="288" w:lineRule="auto"/>
              <w:ind w:left="0"/>
              <w:jc w:val="center"/>
              <w:rPr>
                <w:rFonts w:ascii="Arial Negrita" w:hAnsi="Arial Negrita"/>
                <w:b/>
                <w:spacing w:val="-10"/>
              </w:rPr>
            </w:pPr>
            <w:r w:rsidRPr="00C26EA6">
              <w:rPr>
                <w:rFonts w:ascii="Arial Negrita" w:hAnsi="Arial Negrita"/>
                <w:b/>
                <w:spacing w:val="-10"/>
              </w:rPr>
              <w:t>MTRA. ELIZABETH NAVA GUTIÉRREZ</w:t>
            </w:r>
          </w:p>
          <w:p w14:paraId="17863579" w14:textId="77777777" w:rsidR="007B63AE" w:rsidRPr="001B4A09" w:rsidRDefault="007B63AE" w:rsidP="00D3762F">
            <w:pPr>
              <w:widowControl w:val="0"/>
              <w:spacing w:after="0" w:line="288" w:lineRule="auto"/>
              <w:ind w:left="0"/>
              <w:jc w:val="center"/>
              <w:rPr>
                <w:b/>
              </w:rPr>
            </w:pPr>
            <w:r w:rsidRPr="00C26EA6">
              <w:rPr>
                <w:b/>
                <w:spacing w:val="-10"/>
              </w:rPr>
              <w:t>CONSEJERA PRESIDENTA</w:t>
            </w:r>
          </w:p>
        </w:tc>
        <w:tc>
          <w:tcPr>
            <w:tcW w:w="278" w:type="dxa"/>
          </w:tcPr>
          <w:p w14:paraId="12BE22E0" w14:textId="77777777" w:rsidR="007B63AE" w:rsidRPr="001B4A09" w:rsidRDefault="007B63AE" w:rsidP="00D3762F">
            <w:pPr>
              <w:widowControl w:val="0"/>
              <w:spacing w:after="0" w:line="288" w:lineRule="auto"/>
              <w:rPr>
                <w:b/>
              </w:rPr>
            </w:pPr>
          </w:p>
        </w:tc>
        <w:tc>
          <w:tcPr>
            <w:tcW w:w="4400" w:type="dxa"/>
          </w:tcPr>
          <w:p w14:paraId="234C9C88" w14:textId="77777777" w:rsidR="007B63AE" w:rsidRPr="004C5A07" w:rsidRDefault="007B63AE" w:rsidP="00D3762F">
            <w:pPr>
              <w:widowControl w:val="0"/>
              <w:spacing w:after="0" w:line="288" w:lineRule="auto"/>
              <w:ind w:left="0"/>
              <w:jc w:val="center"/>
              <w:rPr>
                <w:rFonts w:ascii="Arial Negrita" w:hAnsi="Arial Negrita"/>
                <w:b/>
                <w:spacing w:val="-10"/>
              </w:rPr>
            </w:pPr>
            <w:r w:rsidRPr="004C5A07">
              <w:rPr>
                <w:rFonts w:ascii="Arial Negrita" w:hAnsi="Arial Negrita"/>
                <w:b/>
                <w:spacing w:val="-10"/>
              </w:rPr>
              <w:t>LIC. JORGE ALBERTO ZAVALA FRÍAS</w:t>
            </w:r>
          </w:p>
          <w:p w14:paraId="4D1DC6E0" w14:textId="77777777" w:rsidR="007B63AE" w:rsidRPr="001B4A09" w:rsidRDefault="007B63AE" w:rsidP="00D3762F">
            <w:pPr>
              <w:widowControl w:val="0"/>
              <w:spacing w:after="0" w:line="288" w:lineRule="auto"/>
              <w:ind w:left="0"/>
              <w:jc w:val="center"/>
              <w:rPr>
                <w:b/>
              </w:rPr>
            </w:pPr>
            <w:r w:rsidRPr="004C5A07">
              <w:rPr>
                <w:rFonts w:ascii="Arial Negrita" w:hAnsi="Arial Negrita"/>
                <w:b/>
                <w:spacing w:val="-10"/>
              </w:rPr>
              <w:t>SECRETARIO DEL CONSEJO</w:t>
            </w:r>
          </w:p>
        </w:tc>
      </w:tr>
    </w:tbl>
    <w:p w14:paraId="1216996F" w14:textId="77777777" w:rsidR="007B63AE" w:rsidRPr="009A09D4" w:rsidRDefault="007B63AE" w:rsidP="002B3031">
      <w:pPr>
        <w:ind w:left="0"/>
      </w:pPr>
    </w:p>
    <w:sectPr w:rsidR="007B63AE" w:rsidRPr="009A09D4" w:rsidSect="00C413FD">
      <w:headerReference w:type="default" r:id="rId7"/>
      <w:footerReference w:type="default" r:id="rId8"/>
      <w:headerReference w:type="first" r:id="rId9"/>
      <w:pgSz w:w="12240" w:h="15840" w:code="1"/>
      <w:pgMar w:top="2552" w:right="1701" w:bottom="1418"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7623" w14:textId="77777777" w:rsidR="00DF1A16" w:rsidRDefault="00DF1A16" w:rsidP="00B7341E">
      <w:r>
        <w:separator/>
      </w:r>
    </w:p>
  </w:endnote>
  <w:endnote w:type="continuationSeparator" w:id="0">
    <w:p w14:paraId="674E3F55" w14:textId="77777777" w:rsidR="00DF1A16" w:rsidRDefault="00DF1A16" w:rsidP="00B7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ouis George Cafe">
    <w:panose1 w:val="00000000000000000000"/>
    <w:charset w:val="81"/>
    <w:family w:val="auto"/>
    <w:pitch w:val="variable"/>
    <w:sig w:usb0="01002A87" w:usb1="090F0000" w:usb2="00000010" w:usb3="00000000" w:csb0="003F00F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906408398"/>
      <w:docPartObj>
        <w:docPartGallery w:val="Page Numbers (Bottom of Page)"/>
        <w:docPartUnique/>
      </w:docPartObj>
    </w:sdtPr>
    <w:sdtEndPr/>
    <w:sdtContent>
      <w:sdt>
        <w:sdtPr>
          <w:rPr>
            <w:b/>
            <w:bCs/>
            <w:color w:val="660033"/>
            <w:lang w:val="es-ES"/>
          </w:rPr>
          <w:id w:val="-215821050"/>
          <w:docPartObj>
            <w:docPartGallery w:val="Page Numbers (Bottom of Page)"/>
            <w:docPartUnique/>
          </w:docPartObj>
        </w:sdtPr>
        <w:sdtEndPr>
          <w:rPr>
            <w:sz w:val="20"/>
            <w:szCs w:val="20"/>
          </w:rPr>
        </w:sdtEndPr>
        <w:sdtContent>
          <w:p w14:paraId="51D053B1" w14:textId="38C52F9F" w:rsidR="007050DB" w:rsidRPr="0083287A" w:rsidRDefault="0083287A" w:rsidP="0083287A">
            <w:pPr>
              <w:pStyle w:val="Piedepgina"/>
              <w:ind w:left="510"/>
              <w:jc w:val="right"/>
              <w:rPr>
                <w:b/>
                <w:bCs/>
                <w:color w:val="660033"/>
                <w:sz w:val="20"/>
                <w:szCs w:val="20"/>
                <w:lang w:val="es-ES"/>
              </w:rPr>
            </w:pPr>
            <w:r w:rsidRPr="00B25371">
              <w:rPr>
                <w:b/>
                <w:bCs/>
                <w:color w:val="660033"/>
                <w:sz w:val="20"/>
                <w:szCs w:val="20"/>
                <w:lang w:val="es-ES"/>
              </w:rPr>
              <w:t xml:space="preserve">Página  </w:t>
            </w:r>
            <w:r w:rsidRPr="00B25371">
              <w:rPr>
                <w:b/>
                <w:bCs/>
                <w:color w:val="660033"/>
                <w:sz w:val="20"/>
                <w:szCs w:val="20"/>
              </w:rPr>
              <w:fldChar w:fldCharType="begin"/>
            </w:r>
            <w:r w:rsidRPr="00B25371">
              <w:rPr>
                <w:b/>
                <w:bCs/>
                <w:color w:val="660033"/>
                <w:sz w:val="20"/>
                <w:szCs w:val="20"/>
              </w:rPr>
              <w:instrText>PAGE   \* MERGEFORMAT</w:instrText>
            </w:r>
            <w:r w:rsidRPr="00B25371">
              <w:rPr>
                <w:b/>
                <w:bCs/>
                <w:color w:val="660033"/>
                <w:sz w:val="20"/>
                <w:szCs w:val="20"/>
              </w:rPr>
              <w:fldChar w:fldCharType="separate"/>
            </w:r>
            <w:r w:rsidR="009B1ABB">
              <w:rPr>
                <w:b/>
                <w:bCs/>
                <w:noProof/>
                <w:color w:val="660033"/>
                <w:sz w:val="20"/>
                <w:szCs w:val="20"/>
              </w:rPr>
              <w:t>8</w:t>
            </w:r>
            <w:r w:rsidRPr="00B25371">
              <w:rPr>
                <w:b/>
                <w:bCs/>
                <w:color w:val="660033"/>
                <w:sz w:val="20"/>
                <w:szCs w:val="20"/>
              </w:rPr>
              <w:fldChar w:fldCharType="end"/>
            </w:r>
            <w:r w:rsidRPr="00B25371">
              <w:rPr>
                <w:b/>
                <w:bCs/>
                <w:color w:val="660033"/>
                <w:sz w:val="20"/>
                <w:szCs w:val="20"/>
                <w:lang w:val="es-ES"/>
              </w:rPr>
              <w:t xml:space="preserve"> | </w:t>
            </w:r>
            <w:r w:rsidRPr="00B25371">
              <w:rPr>
                <w:b/>
                <w:bCs/>
                <w:color w:val="660033"/>
                <w:sz w:val="20"/>
                <w:szCs w:val="20"/>
                <w:lang w:val="es-ES"/>
              </w:rPr>
              <w:fldChar w:fldCharType="begin"/>
            </w:r>
            <w:r w:rsidRPr="00B25371">
              <w:rPr>
                <w:b/>
                <w:bCs/>
                <w:color w:val="660033"/>
                <w:sz w:val="20"/>
                <w:szCs w:val="20"/>
                <w:lang w:val="es-ES"/>
              </w:rPr>
              <w:instrText xml:space="preserve"> NUMPAGES   \* MERGEFORMAT </w:instrText>
            </w:r>
            <w:r w:rsidRPr="00B25371">
              <w:rPr>
                <w:b/>
                <w:bCs/>
                <w:color w:val="660033"/>
                <w:sz w:val="20"/>
                <w:szCs w:val="20"/>
                <w:lang w:val="es-ES"/>
              </w:rPr>
              <w:fldChar w:fldCharType="separate"/>
            </w:r>
            <w:r w:rsidR="009B1ABB">
              <w:rPr>
                <w:b/>
                <w:bCs/>
                <w:noProof/>
                <w:color w:val="660033"/>
                <w:sz w:val="20"/>
                <w:szCs w:val="20"/>
                <w:lang w:val="es-ES"/>
              </w:rPr>
              <w:t>9</w:t>
            </w:r>
            <w:r w:rsidRPr="00B25371">
              <w:rPr>
                <w:b/>
                <w:bCs/>
                <w:color w:val="660033"/>
                <w:sz w:val="20"/>
                <w:szCs w:val="20"/>
                <w:lang w:val="es-E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8803E" w14:textId="77777777" w:rsidR="00DF1A16" w:rsidRDefault="00DF1A16" w:rsidP="00B7341E">
      <w:r>
        <w:separator/>
      </w:r>
    </w:p>
  </w:footnote>
  <w:footnote w:type="continuationSeparator" w:id="0">
    <w:p w14:paraId="095BE5B4" w14:textId="77777777" w:rsidR="00DF1A16" w:rsidRDefault="00DF1A16" w:rsidP="00B734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237"/>
      <w:gridCol w:w="1701"/>
    </w:tblGrid>
    <w:tr w:rsidR="00D671D6" w:rsidRPr="00063338" w14:paraId="7E359488" w14:textId="77777777" w:rsidTr="00907833">
      <w:tc>
        <w:tcPr>
          <w:tcW w:w="1418" w:type="dxa"/>
        </w:tcPr>
        <w:p w14:paraId="258F8BF5" w14:textId="77777777" w:rsidR="00D671D6" w:rsidRPr="00063338" w:rsidRDefault="00D671D6" w:rsidP="00D671D6">
          <w:pPr>
            <w:pStyle w:val="Encabezado"/>
            <w:ind w:left="-170"/>
            <w:jc w:val="left"/>
          </w:pPr>
          <w:r>
            <w:rPr>
              <w:b/>
              <w:noProof/>
              <w:sz w:val="32"/>
              <w:lang w:eastAsia="es-MX"/>
            </w:rPr>
            <w:drawing>
              <wp:inline distT="0" distB="0" distL="0" distR="0" wp14:anchorId="6890119A" wp14:editId="7A0025DF">
                <wp:extent cx="1014331" cy="1199403"/>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B_Color.png"/>
                        <pic:cNvPicPr/>
                      </pic:nvPicPr>
                      <pic:blipFill>
                        <a:blip r:embed="rId1">
                          <a:extLst>
                            <a:ext uri="{28A0092B-C50C-407E-A947-70E740481C1C}">
                              <a14:useLocalDpi xmlns:a14="http://schemas.microsoft.com/office/drawing/2010/main" val="0"/>
                            </a:ext>
                          </a:extLst>
                        </a:blip>
                        <a:stretch>
                          <a:fillRect/>
                        </a:stretch>
                      </pic:blipFill>
                      <pic:spPr>
                        <a:xfrm>
                          <a:off x="0" y="0"/>
                          <a:ext cx="1025855" cy="1213030"/>
                        </a:xfrm>
                        <a:prstGeom prst="rect">
                          <a:avLst/>
                        </a:prstGeom>
                      </pic:spPr>
                    </pic:pic>
                  </a:graphicData>
                </a:graphic>
              </wp:inline>
            </w:drawing>
          </w:r>
        </w:p>
      </w:tc>
      <w:tc>
        <w:tcPr>
          <w:tcW w:w="6237" w:type="dxa"/>
        </w:tcPr>
        <w:p w14:paraId="0EF90D86" w14:textId="77777777" w:rsidR="00D671D6" w:rsidRPr="00063338" w:rsidRDefault="00D671D6" w:rsidP="00D671D6">
          <w:pPr>
            <w:pStyle w:val="Encabezado"/>
            <w:spacing w:before="720"/>
            <w:ind w:left="0"/>
            <w:jc w:val="center"/>
            <w:rPr>
              <w:b/>
              <w:bCs/>
              <w:sz w:val="25"/>
              <w:szCs w:val="25"/>
            </w:rPr>
          </w:pPr>
          <w:r w:rsidRPr="00063338">
            <w:rPr>
              <w:b/>
              <w:bCs/>
              <w:sz w:val="25"/>
              <w:szCs w:val="25"/>
            </w:rPr>
            <w:t>INSTITUTO ELECTORAL Y DE PARTICIPACIÓN CIUDADANA DE TABASCO</w:t>
          </w:r>
        </w:p>
        <w:p w14:paraId="03888727" w14:textId="77777777" w:rsidR="00D671D6" w:rsidRPr="00063338" w:rsidRDefault="00D671D6" w:rsidP="00D671D6">
          <w:pPr>
            <w:pStyle w:val="Encabezado"/>
            <w:ind w:left="0"/>
            <w:jc w:val="center"/>
          </w:pPr>
          <w:r w:rsidRPr="00063338">
            <w:rPr>
              <w:sz w:val="26"/>
              <w:szCs w:val="26"/>
            </w:rPr>
            <w:t>CONSEJO ESTATAL</w:t>
          </w:r>
        </w:p>
      </w:tc>
      <w:tc>
        <w:tcPr>
          <w:tcW w:w="1701" w:type="dxa"/>
        </w:tcPr>
        <w:p w14:paraId="27B5A2DC" w14:textId="77777777" w:rsidR="00D671D6" w:rsidRPr="00063338" w:rsidRDefault="00D671D6" w:rsidP="00D671D6">
          <w:pPr>
            <w:pStyle w:val="Encabezado"/>
            <w:spacing w:before="480"/>
            <w:ind w:left="0"/>
          </w:pPr>
          <w:r w:rsidRPr="00063338">
            <w:rPr>
              <w:noProof/>
              <w:lang w:eastAsia="es-MX"/>
            </w:rPr>
            <w:drawing>
              <wp:inline distT="0" distB="0" distL="0" distR="0" wp14:anchorId="72B9CF8C" wp14:editId="5D5C31A8">
                <wp:extent cx="921600" cy="75600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921600" cy="756000"/>
                        </a:xfrm>
                        <a:prstGeom prst="rect">
                          <a:avLst/>
                        </a:prstGeom>
                      </pic:spPr>
                    </pic:pic>
                  </a:graphicData>
                </a:graphic>
              </wp:inline>
            </w:drawing>
          </w:r>
        </w:p>
      </w:tc>
    </w:tr>
  </w:tbl>
  <w:p w14:paraId="27A33798" w14:textId="78EF33B4" w:rsidR="002317D7" w:rsidRDefault="00C413FD" w:rsidP="00C413FD">
    <w:pPr>
      <w:pStyle w:val="Encabezado"/>
      <w:jc w:val="right"/>
      <w:rPr>
        <w:b/>
      </w:rPr>
    </w:pPr>
    <w:r w:rsidRPr="00C413FD">
      <w:rPr>
        <w:b/>
      </w:rPr>
      <w:t>CE/2023/005</w:t>
    </w:r>
  </w:p>
  <w:p w14:paraId="0B9F6672" w14:textId="77777777" w:rsidR="00C413FD" w:rsidRPr="00C413FD" w:rsidRDefault="00C413FD" w:rsidP="00C413FD">
    <w:pPr>
      <w:pStyle w:val="Encabezado"/>
      <w:jc w:val="righ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237"/>
      <w:gridCol w:w="1701"/>
    </w:tblGrid>
    <w:tr w:rsidR="00C413FD" w:rsidRPr="00063338" w14:paraId="20157A03" w14:textId="77777777" w:rsidTr="00192380">
      <w:tc>
        <w:tcPr>
          <w:tcW w:w="1418" w:type="dxa"/>
        </w:tcPr>
        <w:p w14:paraId="7F616DAA" w14:textId="77777777" w:rsidR="00C413FD" w:rsidRPr="00063338" w:rsidRDefault="00C413FD" w:rsidP="00C413FD">
          <w:pPr>
            <w:pStyle w:val="Encabezado"/>
            <w:ind w:left="-170"/>
            <w:jc w:val="left"/>
          </w:pPr>
          <w:r>
            <w:rPr>
              <w:b/>
              <w:noProof/>
              <w:sz w:val="32"/>
              <w:lang w:eastAsia="es-MX"/>
            </w:rPr>
            <w:drawing>
              <wp:inline distT="0" distB="0" distL="0" distR="0" wp14:anchorId="72F68E71" wp14:editId="77C37E95">
                <wp:extent cx="1014331" cy="1199403"/>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B_Color.png"/>
                        <pic:cNvPicPr/>
                      </pic:nvPicPr>
                      <pic:blipFill>
                        <a:blip r:embed="rId1">
                          <a:extLst>
                            <a:ext uri="{28A0092B-C50C-407E-A947-70E740481C1C}">
                              <a14:useLocalDpi xmlns:a14="http://schemas.microsoft.com/office/drawing/2010/main" val="0"/>
                            </a:ext>
                          </a:extLst>
                        </a:blip>
                        <a:stretch>
                          <a:fillRect/>
                        </a:stretch>
                      </pic:blipFill>
                      <pic:spPr>
                        <a:xfrm>
                          <a:off x="0" y="0"/>
                          <a:ext cx="1025855" cy="1213030"/>
                        </a:xfrm>
                        <a:prstGeom prst="rect">
                          <a:avLst/>
                        </a:prstGeom>
                      </pic:spPr>
                    </pic:pic>
                  </a:graphicData>
                </a:graphic>
              </wp:inline>
            </w:drawing>
          </w:r>
        </w:p>
      </w:tc>
      <w:tc>
        <w:tcPr>
          <w:tcW w:w="6237" w:type="dxa"/>
        </w:tcPr>
        <w:p w14:paraId="57B920E5" w14:textId="77777777" w:rsidR="00C413FD" w:rsidRPr="00063338" w:rsidRDefault="00C413FD" w:rsidP="00C413FD">
          <w:pPr>
            <w:pStyle w:val="Encabezado"/>
            <w:spacing w:before="720"/>
            <w:ind w:left="0"/>
            <w:jc w:val="center"/>
            <w:rPr>
              <w:b/>
              <w:bCs/>
              <w:sz w:val="25"/>
              <w:szCs w:val="25"/>
            </w:rPr>
          </w:pPr>
          <w:r w:rsidRPr="00063338">
            <w:rPr>
              <w:b/>
              <w:bCs/>
              <w:sz w:val="25"/>
              <w:szCs w:val="25"/>
            </w:rPr>
            <w:t>INSTITUTO ELECTORAL Y DE PARTICIPACIÓN CIUDADANA DE TABASCO</w:t>
          </w:r>
        </w:p>
        <w:p w14:paraId="742FE10E" w14:textId="77777777" w:rsidR="00C413FD" w:rsidRPr="00063338" w:rsidRDefault="00C413FD" w:rsidP="00C413FD">
          <w:pPr>
            <w:pStyle w:val="Encabezado"/>
            <w:ind w:left="0"/>
            <w:jc w:val="center"/>
          </w:pPr>
          <w:r w:rsidRPr="00063338">
            <w:rPr>
              <w:sz w:val="26"/>
              <w:szCs w:val="26"/>
            </w:rPr>
            <w:t>CONSEJO ESTATAL</w:t>
          </w:r>
        </w:p>
      </w:tc>
      <w:tc>
        <w:tcPr>
          <w:tcW w:w="1701" w:type="dxa"/>
        </w:tcPr>
        <w:p w14:paraId="6BD9DD8E" w14:textId="77777777" w:rsidR="00C413FD" w:rsidRPr="00063338" w:rsidRDefault="00C413FD" w:rsidP="00C413FD">
          <w:pPr>
            <w:pStyle w:val="Encabezado"/>
            <w:spacing w:before="480"/>
            <w:ind w:left="0"/>
          </w:pPr>
          <w:r w:rsidRPr="00063338">
            <w:rPr>
              <w:noProof/>
              <w:lang w:eastAsia="es-MX"/>
            </w:rPr>
            <w:drawing>
              <wp:inline distT="0" distB="0" distL="0" distR="0" wp14:anchorId="21DC0BF2" wp14:editId="11C31976">
                <wp:extent cx="921600" cy="75600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921600" cy="756000"/>
                        </a:xfrm>
                        <a:prstGeom prst="rect">
                          <a:avLst/>
                        </a:prstGeom>
                      </pic:spPr>
                    </pic:pic>
                  </a:graphicData>
                </a:graphic>
              </wp:inline>
            </w:drawing>
          </w:r>
        </w:p>
      </w:tc>
    </w:tr>
  </w:tbl>
  <w:p w14:paraId="6ACFAF95" w14:textId="77777777" w:rsidR="00C413FD" w:rsidRDefault="00C413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EB5"/>
    <w:multiLevelType w:val="multilevel"/>
    <w:tmpl w:val="C0E2224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47153D0F"/>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AA27894"/>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D4"/>
    <w:rsid w:val="00010F93"/>
    <w:rsid w:val="00012B73"/>
    <w:rsid w:val="00035CDF"/>
    <w:rsid w:val="0004433B"/>
    <w:rsid w:val="00053023"/>
    <w:rsid w:val="00056BEB"/>
    <w:rsid w:val="00072277"/>
    <w:rsid w:val="00076236"/>
    <w:rsid w:val="000C040B"/>
    <w:rsid w:val="000C0F54"/>
    <w:rsid w:val="000D76F8"/>
    <w:rsid w:val="000D7BA3"/>
    <w:rsid w:val="000E5147"/>
    <w:rsid w:val="000F1621"/>
    <w:rsid w:val="000F5FF0"/>
    <w:rsid w:val="001129CB"/>
    <w:rsid w:val="00122F5E"/>
    <w:rsid w:val="00135F9B"/>
    <w:rsid w:val="0015218C"/>
    <w:rsid w:val="00152F39"/>
    <w:rsid w:val="00156A5B"/>
    <w:rsid w:val="0016249E"/>
    <w:rsid w:val="00162B88"/>
    <w:rsid w:val="0016334C"/>
    <w:rsid w:val="001D1E9F"/>
    <w:rsid w:val="001D36AF"/>
    <w:rsid w:val="001E61CF"/>
    <w:rsid w:val="001E62DE"/>
    <w:rsid w:val="001F2A4C"/>
    <w:rsid w:val="001F56DA"/>
    <w:rsid w:val="002106C2"/>
    <w:rsid w:val="002317D7"/>
    <w:rsid w:val="002669C6"/>
    <w:rsid w:val="00292DF0"/>
    <w:rsid w:val="002A5C36"/>
    <w:rsid w:val="002A64B9"/>
    <w:rsid w:val="002B3031"/>
    <w:rsid w:val="002F3B2F"/>
    <w:rsid w:val="00304462"/>
    <w:rsid w:val="00312D81"/>
    <w:rsid w:val="00324201"/>
    <w:rsid w:val="003347CC"/>
    <w:rsid w:val="003511F8"/>
    <w:rsid w:val="00352590"/>
    <w:rsid w:val="003576A3"/>
    <w:rsid w:val="00361A62"/>
    <w:rsid w:val="003A00F6"/>
    <w:rsid w:val="003B45A0"/>
    <w:rsid w:val="003C3954"/>
    <w:rsid w:val="003D0C78"/>
    <w:rsid w:val="003D15AB"/>
    <w:rsid w:val="003D1C84"/>
    <w:rsid w:val="003D225B"/>
    <w:rsid w:val="003F4119"/>
    <w:rsid w:val="00405306"/>
    <w:rsid w:val="00415BF4"/>
    <w:rsid w:val="00434887"/>
    <w:rsid w:val="004552C5"/>
    <w:rsid w:val="00457328"/>
    <w:rsid w:val="00497A27"/>
    <w:rsid w:val="004D4302"/>
    <w:rsid w:val="004F2330"/>
    <w:rsid w:val="00512E8D"/>
    <w:rsid w:val="00531F36"/>
    <w:rsid w:val="00541D1F"/>
    <w:rsid w:val="0057708F"/>
    <w:rsid w:val="005851F2"/>
    <w:rsid w:val="0059575D"/>
    <w:rsid w:val="005A6D07"/>
    <w:rsid w:val="005A78BB"/>
    <w:rsid w:val="005B638B"/>
    <w:rsid w:val="005C52DB"/>
    <w:rsid w:val="005C73ED"/>
    <w:rsid w:val="005C7F4F"/>
    <w:rsid w:val="005D5151"/>
    <w:rsid w:val="005F2C05"/>
    <w:rsid w:val="005F486C"/>
    <w:rsid w:val="006105FD"/>
    <w:rsid w:val="00617C78"/>
    <w:rsid w:val="00621635"/>
    <w:rsid w:val="006279B8"/>
    <w:rsid w:val="00641187"/>
    <w:rsid w:val="00652CDE"/>
    <w:rsid w:val="006950EB"/>
    <w:rsid w:val="006C3141"/>
    <w:rsid w:val="006D34AE"/>
    <w:rsid w:val="006E6781"/>
    <w:rsid w:val="006F0B79"/>
    <w:rsid w:val="00703E45"/>
    <w:rsid w:val="007050DB"/>
    <w:rsid w:val="00710FEE"/>
    <w:rsid w:val="00717333"/>
    <w:rsid w:val="00723713"/>
    <w:rsid w:val="00730F60"/>
    <w:rsid w:val="007332C8"/>
    <w:rsid w:val="00781D82"/>
    <w:rsid w:val="007B63AE"/>
    <w:rsid w:val="007B7B44"/>
    <w:rsid w:val="007C1E47"/>
    <w:rsid w:val="007C7F69"/>
    <w:rsid w:val="007D08FA"/>
    <w:rsid w:val="007D2F0C"/>
    <w:rsid w:val="007D5E15"/>
    <w:rsid w:val="007F1038"/>
    <w:rsid w:val="00802302"/>
    <w:rsid w:val="00806D15"/>
    <w:rsid w:val="00825AE4"/>
    <w:rsid w:val="0083287A"/>
    <w:rsid w:val="008433AD"/>
    <w:rsid w:val="00843E50"/>
    <w:rsid w:val="00852000"/>
    <w:rsid w:val="00854B03"/>
    <w:rsid w:val="00863FF2"/>
    <w:rsid w:val="0086471F"/>
    <w:rsid w:val="008662A8"/>
    <w:rsid w:val="0089533B"/>
    <w:rsid w:val="008C02CE"/>
    <w:rsid w:val="009152C7"/>
    <w:rsid w:val="009231A8"/>
    <w:rsid w:val="00940ECC"/>
    <w:rsid w:val="0095455F"/>
    <w:rsid w:val="00956F78"/>
    <w:rsid w:val="00981B44"/>
    <w:rsid w:val="009A09D4"/>
    <w:rsid w:val="009A2E0D"/>
    <w:rsid w:val="009B1ABB"/>
    <w:rsid w:val="009B3092"/>
    <w:rsid w:val="009B4B00"/>
    <w:rsid w:val="009D04EE"/>
    <w:rsid w:val="009E0321"/>
    <w:rsid w:val="009E3E40"/>
    <w:rsid w:val="009E609C"/>
    <w:rsid w:val="009F0DC3"/>
    <w:rsid w:val="00A03B39"/>
    <w:rsid w:val="00A0602A"/>
    <w:rsid w:val="00A173F4"/>
    <w:rsid w:val="00A2196F"/>
    <w:rsid w:val="00A30B80"/>
    <w:rsid w:val="00A35925"/>
    <w:rsid w:val="00A36A03"/>
    <w:rsid w:val="00A7647A"/>
    <w:rsid w:val="00A80C37"/>
    <w:rsid w:val="00AA3424"/>
    <w:rsid w:val="00AB522F"/>
    <w:rsid w:val="00AC1628"/>
    <w:rsid w:val="00AD48D9"/>
    <w:rsid w:val="00AD7D56"/>
    <w:rsid w:val="00AE584D"/>
    <w:rsid w:val="00AE60B2"/>
    <w:rsid w:val="00AE6D8B"/>
    <w:rsid w:val="00B04FAD"/>
    <w:rsid w:val="00B2146F"/>
    <w:rsid w:val="00B23693"/>
    <w:rsid w:val="00B540F1"/>
    <w:rsid w:val="00B6266A"/>
    <w:rsid w:val="00B67588"/>
    <w:rsid w:val="00B71FB9"/>
    <w:rsid w:val="00B7341E"/>
    <w:rsid w:val="00B75DD1"/>
    <w:rsid w:val="00B765DA"/>
    <w:rsid w:val="00B84BE9"/>
    <w:rsid w:val="00B967AA"/>
    <w:rsid w:val="00BD4487"/>
    <w:rsid w:val="00BE293A"/>
    <w:rsid w:val="00BE3DC4"/>
    <w:rsid w:val="00BF64F5"/>
    <w:rsid w:val="00C03315"/>
    <w:rsid w:val="00C05F84"/>
    <w:rsid w:val="00C071C0"/>
    <w:rsid w:val="00C413FD"/>
    <w:rsid w:val="00C447F8"/>
    <w:rsid w:val="00C54F97"/>
    <w:rsid w:val="00C5751F"/>
    <w:rsid w:val="00C60A89"/>
    <w:rsid w:val="00C903BC"/>
    <w:rsid w:val="00C910F8"/>
    <w:rsid w:val="00CA2026"/>
    <w:rsid w:val="00CA2BE7"/>
    <w:rsid w:val="00CB4B82"/>
    <w:rsid w:val="00CC6840"/>
    <w:rsid w:val="00CD092F"/>
    <w:rsid w:val="00CE1DCA"/>
    <w:rsid w:val="00D136C7"/>
    <w:rsid w:val="00D37A23"/>
    <w:rsid w:val="00D51AD4"/>
    <w:rsid w:val="00D665BF"/>
    <w:rsid w:val="00D671D6"/>
    <w:rsid w:val="00D941AD"/>
    <w:rsid w:val="00DF1A16"/>
    <w:rsid w:val="00E31F2D"/>
    <w:rsid w:val="00E353CF"/>
    <w:rsid w:val="00E53858"/>
    <w:rsid w:val="00E6002A"/>
    <w:rsid w:val="00E609D2"/>
    <w:rsid w:val="00E65CE1"/>
    <w:rsid w:val="00E73743"/>
    <w:rsid w:val="00E92057"/>
    <w:rsid w:val="00EB48D1"/>
    <w:rsid w:val="00EB6D78"/>
    <w:rsid w:val="00EB7258"/>
    <w:rsid w:val="00EC009D"/>
    <w:rsid w:val="00EC0570"/>
    <w:rsid w:val="00EC08F7"/>
    <w:rsid w:val="00EC7046"/>
    <w:rsid w:val="00EE5FE4"/>
    <w:rsid w:val="00EF2EF5"/>
    <w:rsid w:val="00F07202"/>
    <w:rsid w:val="00F15857"/>
    <w:rsid w:val="00F16F21"/>
    <w:rsid w:val="00F27505"/>
    <w:rsid w:val="00F3399E"/>
    <w:rsid w:val="00F40F09"/>
    <w:rsid w:val="00F50CE1"/>
    <w:rsid w:val="00F51A20"/>
    <w:rsid w:val="00F554FF"/>
    <w:rsid w:val="00F8459B"/>
    <w:rsid w:val="00F87845"/>
    <w:rsid w:val="00FB3CC9"/>
    <w:rsid w:val="00FD7812"/>
    <w:rsid w:val="00FF31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767E"/>
  <w15:chartTrackingRefBased/>
  <w15:docId w15:val="{D215B0FF-F385-4AC2-9011-63FD9DB4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41E"/>
    <w:pPr>
      <w:spacing w:after="240" w:line="283" w:lineRule="auto"/>
      <w:ind w:left="624"/>
      <w:jc w:val="both"/>
    </w:pPr>
    <w:rPr>
      <w:rFonts w:ascii="Arial" w:hAnsi="Arial" w:cs="Arial"/>
      <w:sz w:val="24"/>
      <w:szCs w:val="24"/>
    </w:rPr>
  </w:style>
  <w:style w:type="paragraph" w:styleId="Ttulo1">
    <w:name w:val="heading 1"/>
    <w:basedOn w:val="Normal"/>
    <w:next w:val="Normal"/>
    <w:link w:val="Ttulo1Car"/>
    <w:uiPriority w:val="9"/>
    <w:qFormat/>
    <w:rsid w:val="002A64B9"/>
    <w:pPr>
      <w:numPr>
        <w:numId w:val="1"/>
      </w:numPr>
      <w:spacing w:before="480" w:after="360" w:line="288" w:lineRule="auto"/>
      <w:jc w:val="center"/>
      <w:outlineLvl w:val="0"/>
    </w:pPr>
    <w:rPr>
      <w:b/>
      <w:bCs/>
      <w:sz w:val="28"/>
      <w:szCs w:val="28"/>
    </w:rPr>
  </w:style>
  <w:style w:type="paragraph" w:styleId="Ttulo2">
    <w:name w:val="heading 2"/>
    <w:basedOn w:val="Normal"/>
    <w:next w:val="Normal"/>
    <w:link w:val="Ttulo2Car"/>
    <w:uiPriority w:val="9"/>
    <w:unhideWhenUsed/>
    <w:qFormat/>
    <w:rsid w:val="00B7341E"/>
    <w:pPr>
      <w:keepNext/>
      <w:keepLines/>
      <w:numPr>
        <w:ilvl w:val="1"/>
        <w:numId w:val="1"/>
      </w:numPr>
      <w:spacing w:before="360" w:after="0"/>
      <w:ind w:left="624" w:hanging="624"/>
      <w:outlineLvl w:val="1"/>
    </w:pPr>
    <w:rPr>
      <w:rFonts w:eastAsiaTheme="majorEastAsia"/>
      <w:b/>
      <w:bCs/>
    </w:rPr>
  </w:style>
  <w:style w:type="paragraph" w:styleId="Ttulo3">
    <w:name w:val="heading 3"/>
    <w:basedOn w:val="Normal"/>
    <w:next w:val="Normal"/>
    <w:link w:val="Ttulo3Car"/>
    <w:uiPriority w:val="9"/>
    <w:unhideWhenUsed/>
    <w:qFormat/>
    <w:rsid w:val="005C73ED"/>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8662A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8662A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8662A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8662A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8662A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662A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64B9"/>
    <w:rPr>
      <w:rFonts w:ascii="Calisto MT" w:hAnsi="Calisto MT"/>
      <w:b/>
      <w:bCs/>
      <w:sz w:val="28"/>
      <w:szCs w:val="28"/>
    </w:rPr>
  </w:style>
  <w:style w:type="character" w:customStyle="1" w:styleId="Ttulo3Car">
    <w:name w:val="Título 3 Car"/>
    <w:basedOn w:val="Fuentedeprrafopredeter"/>
    <w:link w:val="Ttulo3"/>
    <w:uiPriority w:val="9"/>
    <w:rsid w:val="005C73ED"/>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rsid w:val="00B7341E"/>
    <w:rPr>
      <w:rFonts w:ascii="Arial" w:eastAsiaTheme="majorEastAsia" w:hAnsi="Arial" w:cs="Arial"/>
      <w:b/>
      <w:bCs/>
      <w:sz w:val="24"/>
      <w:szCs w:val="24"/>
    </w:rPr>
  </w:style>
  <w:style w:type="paragraph" w:customStyle="1" w:styleId="Puntos">
    <w:name w:val="Puntos"/>
    <w:basedOn w:val="Normal"/>
    <w:link w:val="PuntosCar"/>
    <w:qFormat/>
    <w:rsid w:val="00D51AD4"/>
  </w:style>
  <w:style w:type="character" w:customStyle="1" w:styleId="Ttulo4Car">
    <w:name w:val="Título 4 Car"/>
    <w:basedOn w:val="Fuentedeprrafopredeter"/>
    <w:link w:val="Ttulo4"/>
    <w:uiPriority w:val="9"/>
    <w:semiHidden/>
    <w:rsid w:val="008662A8"/>
    <w:rPr>
      <w:rFonts w:asciiTheme="majorHAnsi" w:eastAsiaTheme="majorEastAsia" w:hAnsiTheme="majorHAnsi" w:cstheme="majorBidi"/>
      <w:i/>
      <w:iCs/>
      <w:color w:val="2F5496" w:themeColor="accent1" w:themeShade="BF"/>
      <w:sz w:val="24"/>
      <w:szCs w:val="24"/>
    </w:rPr>
  </w:style>
  <w:style w:type="character" w:customStyle="1" w:styleId="PuntosCar">
    <w:name w:val="Puntos Car"/>
    <w:basedOn w:val="Fuentedeprrafopredeter"/>
    <w:link w:val="Puntos"/>
    <w:rsid w:val="00D51AD4"/>
    <w:rPr>
      <w:rFonts w:ascii="Calisto MT" w:hAnsi="Calisto MT"/>
      <w:sz w:val="24"/>
      <w:szCs w:val="24"/>
    </w:rPr>
  </w:style>
  <w:style w:type="character" w:customStyle="1" w:styleId="Ttulo5Car">
    <w:name w:val="Título 5 Car"/>
    <w:basedOn w:val="Fuentedeprrafopredeter"/>
    <w:link w:val="Ttulo5"/>
    <w:uiPriority w:val="9"/>
    <w:semiHidden/>
    <w:rsid w:val="008662A8"/>
    <w:rPr>
      <w:rFonts w:asciiTheme="majorHAnsi" w:eastAsiaTheme="majorEastAsia" w:hAnsiTheme="majorHAnsi" w:cstheme="majorBidi"/>
      <w:color w:val="2F5496" w:themeColor="accent1" w:themeShade="BF"/>
      <w:sz w:val="24"/>
      <w:szCs w:val="24"/>
    </w:rPr>
  </w:style>
  <w:style w:type="character" w:customStyle="1" w:styleId="Ttulo6Car">
    <w:name w:val="Título 6 Car"/>
    <w:basedOn w:val="Fuentedeprrafopredeter"/>
    <w:link w:val="Ttulo6"/>
    <w:uiPriority w:val="9"/>
    <w:semiHidden/>
    <w:rsid w:val="008662A8"/>
    <w:rPr>
      <w:rFonts w:asciiTheme="majorHAnsi" w:eastAsiaTheme="majorEastAsia" w:hAnsiTheme="majorHAnsi" w:cstheme="majorBidi"/>
      <w:color w:val="1F3763" w:themeColor="accent1" w:themeShade="7F"/>
      <w:sz w:val="24"/>
      <w:szCs w:val="24"/>
    </w:rPr>
  </w:style>
  <w:style w:type="character" w:customStyle="1" w:styleId="Ttulo7Car">
    <w:name w:val="Título 7 Car"/>
    <w:basedOn w:val="Fuentedeprrafopredeter"/>
    <w:link w:val="Ttulo7"/>
    <w:uiPriority w:val="9"/>
    <w:semiHidden/>
    <w:rsid w:val="008662A8"/>
    <w:rPr>
      <w:rFonts w:asciiTheme="majorHAnsi" w:eastAsiaTheme="majorEastAsia" w:hAnsiTheme="majorHAnsi" w:cstheme="majorBidi"/>
      <w:i/>
      <w:iCs/>
      <w:color w:val="1F3763" w:themeColor="accent1" w:themeShade="7F"/>
      <w:sz w:val="24"/>
      <w:szCs w:val="24"/>
    </w:rPr>
  </w:style>
  <w:style w:type="character" w:customStyle="1" w:styleId="Ttulo8Car">
    <w:name w:val="Título 8 Car"/>
    <w:basedOn w:val="Fuentedeprrafopredeter"/>
    <w:link w:val="Ttulo8"/>
    <w:uiPriority w:val="9"/>
    <w:semiHidden/>
    <w:rsid w:val="008662A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662A8"/>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7050DB"/>
    <w:pPr>
      <w:widowControl w:val="0"/>
      <w:spacing w:after="480"/>
      <w:ind w:left="0"/>
    </w:pPr>
    <w:rPr>
      <w:rFonts w:cs="Louis George Cafe"/>
      <w:b/>
      <w:sz w:val="28"/>
      <w:szCs w:val="26"/>
    </w:rPr>
  </w:style>
  <w:style w:type="character" w:customStyle="1" w:styleId="TtuloCar">
    <w:name w:val="Título Car"/>
    <w:basedOn w:val="Fuentedeprrafopredeter"/>
    <w:link w:val="Ttulo"/>
    <w:uiPriority w:val="10"/>
    <w:rsid w:val="007050DB"/>
    <w:rPr>
      <w:rFonts w:ascii="Calisto MT" w:hAnsi="Calisto MT" w:cs="Louis George Cafe"/>
      <w:b/>
      <w:sz w:val="28"/>
      <w:szCs w:val="26"/>
    </w:rPr>
  </w:style>
  <w:style w:type="paragraph" w:styleId="Encabezado">
    <w:name w:val="header"/>
    <w:basedOn w:val="Normal"/>
    <w:link w:val="EncabezadoCar"/>
    <w:uiPriority w:val="99"/>
    <w:unhideWhenUsed/>
    <w:rsid w:val="007050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50DB"/>
    <w:rPr>
      <w:rFonts w:ascii="Calisto MT" w:hAnsi="Calisto MT"/>
      <w:sz w:val="24"/>
      <w:szCs w:val="24"/>
    </w:rPr>
  </w:style>
  <w:style w:type="paragraph" w:styleId="Piedepgina">
    <w:name w:val="footer"/>
    <w:basedOn w:val="Normal"/>
    <w:link w:val="PiedepginaCar"/>
    <w:uiPriority w:val="99"/>
    <w:unhideWhenUsed/>
    <w:rsid w:val="007050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50DB"/>
    <w:rPr>
      <w:rFonts w:ascii="Calisto MT" w:hAnsi="Calisto MT"/>
      <w:sz w:val="24"/>
      <w:szCs w:val="24"/>
    </w:rPr>
  </w:style>
  <w:style w:type="table" w:styleId="Tablaconcuadrcula">
    <w:name w:val="Table Grid"/>
    <w:basedOn w:val="Tablanormal"/>
    <w:uiPriority w:val="39"/>
    <w:rsid w:val="00AD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2378</Words>
  <Characters>13083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Leon</dc:creator>
  <cp:keywords/>
  <dc:description/>
  <cp:lastModifiedBy>Lic_ Carlos E. León Mayo</cp:lastModifiedBy>
  <cp:revision>116</cp:revision>
  <cp:lastPrinted>2023-01-27T18:17:00Z</cp:lastPrinted>
  <dcterms:created xsi:type="dcterms:W3CDTF">2023-01-09T19:41:00Z</dcterms:created>
  <dcterms:modified xsi:type="dcterms:W3CDTF">2023-01-31T17:53:00Z</dcterms:modified>
</cp:coreProperties>
</file>